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awriol</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gjdgxs" w:id="0"/>
      <w:bookmarkEnd w:id="0"/>
      <w:r w:rsidDel="00000000" w:rsidR="00000000" w:rsidRPr="00000000">
        <w:rPr>
          <w:rtl w:val="0"/>
        </w:rPr>
        <w:t xml:space="preserve">Auto-Scaling Web Application</w:t>
      </w:r>
    </w:p>
    <w:p w:rsidR="00000000" w:rsidDel="00000000" w:rsidP="00000000" w:rsidRDefault="00000000" w:rsidRPr="00000000" w14:paraId="00000003">
      <w:pPr>
        <w:pStyle w:val="Heading1"/>
        <w:rPr/>
      </w:pPr>
      <w:bookmarkStart w:colFirst="0" w:colLast="0" w:name="_30j0zll" w:id="1"/>
      <w:bookmarkEnd w:id="1"/>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Increasing the number of businesses as online services and developing these services with time leads to an increase in the number of users who would want to work simultaneously on the same web services.</w:t>
      </w:r>
      <w:r w:rsidDel="00000000" w:rsidR="00000000" w:rsidRPr="00000000">
        <w:rPr>
          <w:rtl w:val="0"/>
        </w:rPr>
        <w:t xml:space="preserve"> However, each web-application can only handle a limited number of requests and responses, while having to maintain an active user session. Multiplying the number of web-applications should remedy this issue, resulting in a scalable solution. Although running multiple web-application instances in parallel could be wasteful and costly: we do not need all instances of the web-application always up and running. Auto-scaling is the ideal solution that allows to manage the working number of web-applications conveniently at a given moment. The proper process that supervises the number of running web-applications is configured by MAPE (Monitoring, Analysis, Planning, and Execution).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architecture of the application and the way the application keeps the user’s session active could be challenging in our case study. In addition, providing resources to the application is necessary and might be difficult, while these applications should be adaptive to change as well.</w:t>
      </w:r>
    </w:p>
    <w:p w:rsidR="00000000" w:rsidDel="00000000" w:rsidP="00000000" w:rsidRDefault="00000000" w:rsidRPr="00000000" w14:paraId="00000007">
      <w:pPr>
        <w:pStyle w:val="Heading1"/>
        <w:rPr/>
      </w:pPr>
      <w:bookmarkStart w:colFirst="0" w:colLast="0" w:name="_1fob9te" w:id="2"/>
      <w:bookmarkEnd w:id="2"/>
      <w:r w:rsidDel="00000000" w:rsidR="00000000" w:rsidRPr="00000000">
        <w:rPr>
          <w:rtl w:val="0"/>
        </w:rPr>
        <w:t xml:space="preserve">Motivation</w:t>
      </w:r>
    </w:p>
    <w:p w:rsidR="00000000" w:rsidDel="00000000" w:rsidP="00000000" w:rsidRDefault="00000000" w:rsidRPr="00000000" w14:paraId="00000008">
      <w:pPr>
        <w:rPr/>
      </w:pPr>
      <w:r w:rsidDel="00000000" w:rsidR="00000000" w:rsidRPr="00000000">
        <w:rPr>
          <w:rtl w:val="0"/>
        </w:rPr>
        <w:t xml:space="preserve">Here you should explain why the topic is important and relevant to the course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3znysh7" w:id="3"/>
      <w:bookmarkEnd w:id="3"/>
      <w:r w:rsidDel="00000000" w:rsidR="00000000" w:rsidRPr="00000000">
        <w:rPr>
          <w:rtl w:val="0"/>
        </w:rPr>
        <w:t xml:space="preserve">Bibliography</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Reference 1</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Reference 2</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Reference 3</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i w:val="1"/>
      </w:rPr>
    </w:pPr>
    <w:r w:rsidDel="00000000" w:rsidR="00000000" w:rsidRPr="00000000">
      <w:rPr>
        <w:i w:val="1"/>
        <w:rtl w:val="0"/>
      </w:rPr>
      <w:t xml:space="preserve">Student symposium 2020</w:t>
    </w:r>
  </w:p>
  <w:p w:rsidR="00000000" w:rsidDel="00000000" w:rsidP="00000000" w:rsidRDefault="00000000" w:rsidRPr="00000000" w14:paraId="00000010">
    <w:pPr>
      <w:rPr>
        <w:b w:val="1"/>
      </w:rPr>
    </w:pPr>
    <w:r w:rsidDel="00000000" w:rsidR="00000000" w:rsidRPr="00000000">
      <w:rPr>
        <w:b w:val="1"/>
        <w:rtl w:val="0"/>
      </w:rPr>
      <w:t xml:space="preserve">Group members: Hadi Vahabpour Roudsari; Name2 Surname2;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