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Oto kompleksowe podsumowanie </w:t>
      </w:r>
      <w:r w:rsidDel="00000000" w:rsidR="00000000" w:rsidRPr="00000000">
        <w:rPr>
          <w:b w:val="1"/>
          <w:bCs w:val="1"/>
          <w:rtl w:val="0"/>
        </w:rPr>
        <w:t xml:space="preserve">aktu w sprawie sztucznej inteligencji (rozporządzenia UE 2024/1689)</w:t>
      </w:r>
      <w:r w:rsidDel="00000000" w:rsidR="00000000" w:rsidRPr="00000000">
        <w:rPr>
          <w:rtl w:val="0"/>
        </w:rPr>
        <w:t xml:space="preserve">, opracowane na podstawie udostępnionych materiałów źródłowych. Dokument ten stanowi pierwsze na świecie tak szerokie ujęcie ram prawnych dla rozwoju i wdrażania AI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rs1hfbwulzd" w:id="0"/>
      <w:bookmarkEnd w:id="0"/>
      <w:r w:rsidDel="00000000" w:rsidR="00000000" w:rsidRPr="00000000">
        <w:rPr>
          <w:rtl w:val="0"/>
        </w:rPr>
        <w:t xml:space="preserve">1. Cel i zakres rozporządzenia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Głównym celem aktu jest poprawa funkcjonowania rynku wewnętrznego UE przy jednoczesnym promowaniu </w:t>
      </w:r>
      <w:r w:rsidDel="00000000" w:rsidR="00000000" w:rsidRPr="00000000">
        <w:rPr>
          <w:b w:val="1"/>
          <w:bCs w:val="1"/>
          <w:rtl w:val="0"/>
        </w:rPr>
        <w:t xml:space="preserve">godnej zaufania AI zorientowanej na człowieka</w:t>
      </w:r>
      <w:r w:rsidDel="00000000" w:rsidR="00000000" w:rsidRPr="00000000">
        <w:rPr>
          <w:rtl w:val="0"/>
        </w:rPr>
        <w:t xml:space="preserve"> 2, 3. Rozporządzenie dąży do zapewnienia wysokiego poziomu ochrony zdrowia, bezpieczeństwa oraz praw podstawowych (w tym demokracji i praworządności) przed szkodliwymi skutkami systemów AI 2, 3.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Kogo dotyczy?</w:t>
      </w:r>
      <w:r w:rsidDel="00000000" w:rsidR="00000000" w:rsidRPr="00000000">
        <w:rPr>
          <w:rtl w:val="0"/>
        </w:rPr>
        <w:t xml:space="preserve"> Dostawców wprowadzających systemy AI do obrotu w UE (niezależnie od ich siedziby), podmiotów stosujących AI w Unii, a także importerów, dystrybutorów oraz osób, na które AI ma wpływ 4, 5.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Wyłączenia</w:t>
      </w:r>
      <w:r w:rsidDel="00000000" w:rsidR="00000000" w:rsidRPr="00000000">
        <w:rPr>
          <w:rtl w:val="0"/>
        </w:rPr>
        <w:t xml:space="preserve">: Przepisy nie mają zastosowania do celów czysto militarnych, obronnych, bezpieczeństwa narodowego oraz do działalności badawczo-rozwojowej przed wprowadzeniem systemu do obrotu 6, 7. Akt nie dotyczy również osób fizycznych używających AI w celach czysto osobistych 8.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6rpn5mplrq9i" w:id="1"/>
      <w:bookmarkEnd w:id="1"/>
      <w:r w:rsidDel="00000000" w:rsidR="00000000" w:rsidRPr="00000000">
        <w:rPr>
          <w:rtl w:val="0"/>
        </w:rPr>
        <w:t xml:space="preserve">2. Klasyfikacja oparta na ryzyku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Akt o AI wprowadza system oparty na czterech poziomach ryzyka, z których najważniejsze to 9: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ho1x7qrkywco" w:id="2"/>
      <w:bookmarkEnd w:id="2"/>
      <w:r w:rsidDel="00000000" w:rsidR="00000000" w:rsidRPr="00000000">
        <w:rPr>
          <w:rtl w:val="0"/>
        </w:rPr>
        <w:t xml:space="preserve">A. Praktyki zakazane (Ryzyko niedopuszczalne)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Unia całkowicie zabrania stosowania AI do 10-16: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Manipulacji podprogowej</w:t>
      </w:r>
      <w:r w:rsidDel="00000000" w:rsidR="00000000" w:rsidRPr="00000000">
        <w:rPr>
          <w:rtl w:val="0"/>
        </w:rPr>
        <w:t xml:space="preserve"> zmieniającej zachowanie osób w sposób wyrządzający im szkodę.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Wykorzystywania słabości</w:t>
      </w:r>
      <w:r w:rsidDel="00000000" w:rsidR="00000000" w:rsidRPr="00000000">
        <w:rPr>
          <w:rtl w:val="0"/>
        </w:rPr>
        <w:t xml:space="preserve"> osób (wieku, niepełnosprawności, sytuacji ekonomicznej).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Scoringu społecznego</w:t>
      </w:r>
      <w:r w:rsidDel="00000000" w:rsidR="00000000" w:rsidRPr="00000000">
        <w:rPr>
          <w:rtl w:val="0"/>
        </w:rPr>
        <w:t xml:space="preserve"> (klasyfikacji osób na podstawie zachowań społecznych prowadzącej do dyskryminacji).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Indywidualnego prognozowania przestępczości</w:t>
      </w:r>
      <w:r w:rsidDel="00000000" w:rsidR="00000000" w:rsidRPr="00000000">
        <w:rPr>
          <w:rtl w:val="0"/>
        </w:rPr>
        <w:t xml:space="preserve"> opartego wyłącznie na profilowaniu osobowości.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Tworzenia baz danych rozpoznawania twarzy</w:t>
      </w:r>
      <w:r w:rsidDel="00000000" w:rsidR="00000000" w:rsidRPr="00000000">
        <w:rPr>
          <w:rtl w:val="0"/>
        </w:rPr>
        <w:t xml:space="preserve"> poprzez nieukierunkowany scraping wizerunków z internetu/CCTV.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Rozpoznawania emocji</w:t>
      </w:r>
      <w:r w:rsidDel="00000000" w:rsidR="00000000" w:rsidRPr="00000000">
        <w:rPr>
          <w:rtl w:val="0"/>
        </w:rPr>
        <w:t xml:space="preserve"> w miejscach pracy i instytucjach edukacyjnych (z wyjątkami medycznymi).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Kategoryzacji biometrycznej</w:t>
      </w:r>
      <w:r w:rsidDel="00000000" w:rsidR="00000000" w:rsidRPr="00000000">
        <w:rPr>
          <w:rtl w:val="0"/>
        </w:rPr>
        <w:t xml:space="preserve"> ujawniającej dane wrażliwe (rasa, religia, orientacja).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Identyfikacji biometrycznej "w czasie rzeczywistym"</w:t>
      </w:r>
      <w:r w:rsidDel="00000000" w:rsidR="00000000" w:rsidRPr="00000000">
        <w:rPr>
          <w:rtl w:val="0"/>
        </w:rPr>
        <w:t xml:space="preserve"> w przestrzeni publicznej przez policję (z wyjątkiem ściśle określonych sytuacji, jak poszukiwanie ofiar porwań czy zapobieganie terroryzmowi).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682dlvblb0sg" w:id="3"/>
      <w:bookmarkEnd w:id="3"/>
      <w:r w:rsidDel="00000000" w:rsidR="00000000" w:rsidRPr="00000000">
        <w:rPr>
          <w:rtl w:val="0"/>
        </w:rPr>
        <w:t xml:space="preserve">B. Systemy wysokiego ryzyka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Dotyczy to systemów AI wykorzystywanych w krytycznych obszarach (np. infrastruktura krytyczna, edukacja, zatrudnienie, dostęp do usług publicznych, ściganie przestępstw) 17-29. Dostawcy tych systemów muszą spełnić rygorystyczne wymogi 30: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Wdrożenie </w:t>
      </w:r>
      <w:r w:rsidDel="00000000" w:rsidR="00000000" w:rsidRPr="00000000">
        <w:rPr>
          <w:b w:val="1"/>
          <w:bCs w:val="1"/>
          <w:rtl w:val="0"/>
        </w:rPr>
        <w:t xml:space="preserve">systemu zarządzania ryzykiem</w:t>
      </w:r>
      <w:r w:rsidDel="00000000" w:rsidR="00000000" w:rsidRPr="00000000">
        <w:rPr>
          <w:rtl w:val="0"/>
        </w:rPr>
        <w:t xml:space="preserve"> i jakością 31, 32.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Zapewnienie wysokiej jakości danych treningowych (reprezentatywność, brak błędów) 33, 34.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Sporządzenie szczegółowej </w:t>
      </w:r>
      <w:r w:rsidDel="00000000" w:rsidR="00000000" w:rsidRPr="00000000">
        <w:rPr>
          <w:b w:val="1"/>
          <w:bCs w:val="1"/>
          <w:rtl w:val="0"/>
        </w:rPr>
        <w:t xml:space="preserve">dokumentacji technicznej</w:t>
      </w:r>
      <w:r w:rsidDel="00000000" w:rsidR="00000000" w:rsidRPr="00000000">
        <w:rPr>
          <w:rtl w:val="0"/>
        </w:rPr>
        <w:t xml:space="preserve"> i automatyczne rejestrowanie zdarzeń (logi) 35, 36.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Zaprojektowanie systemu umożliwiającego skuteczny </w:t>
      </w:r>
      <w:r w:rsidDel="00000000" w:rsidR="00000000" w:rsidRPr="00000000">
        <w:rPr>
          <w:b w:val="1"/>
          <w:bCs w:val="1"/>
          <w:rtl w:val="0"/>
        </w:rPr>
        <w:t xml:space="preserve">nadzór ze strony człowieka</w:t>
      </w:r>
      <w:r w:rsidDel="00000000" w:rsidR="00000000" w:rsidRPr="00000000">
        <w:rPr>
          <w:rtl w:val="0"/>
        </w:rPr>
        <w:t xml:space="preserve"> 37.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Opatrzenie systemu </w:t>
      </w:r>
      <w:r w:rsidDel="00000000" w:rsidR="00000000" w:rsidRPr="00000000">
        <w:rPr>
          <w:b w:val="1"/>
          <w:bCs w:val="1"/>
          <w:rtl w:val="0"/>
        </w:rPr>
        <w:t xml:space="preserve">oznakowaniem CE</w:t>
      </w:r>
      <w:r w:rsidDel="00000000" w:rsidR="00000000" w:rsidRPr="00000000">
        <w:rPr>
          <w:rtl w:val="0"/>
        </w:rPr>
        <w:t xml:space="preserve"> 38.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lhnopkp9u92s" w:id="4"/>
      <w:bookmarkEnd w:id="4"/>
      <w:r w:rsidDel="00000000" w:rsidR="00000000" w:rsidRPr="00000000">
        <w:rPr>
          <w:rtl w:val="0"/>
        </w:rPr>
        <w:t xml:space="preserve">3. Modele AI ogólnego przeznaczenia (GPAI)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Rozporządzenie reguluje modele takie jak duże modele językowe (LLM) 39, 40.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Obowiązki wszystkich dostawców GPAI</w:t>
      </w:r>
      <w:r w:rsidDel="00000000" w:rsidR="00000000" w:rsidRPr="00000000">
        <w:rPr>
          <w:rtl w:val="0"/>
        </w:rPr>
        <w:t xml:space="preserve">: Dokumentacja techniczna, współpraca z dostawcami niższego szczebla, polityka przestrzegania prawa autorskiego oraz udostępnianie streszczenia treści użytych do trenowania modelu 41-43.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Modele z ryzykiem systemowym</w:t>
      </w:r>
      <w:r w:rsidDel="00000000" w:rsidR="00000000" w:rsidRPr="00000000">
        <w:rPr>
          <w:rtl w:val="0"/>
        </w:rPr>
        <w:t xml:space="preserve">: Jeśli model trenowano przy użyciu mocy obliczeniowej powyżej $10^{25}$ FLOPs, uznaje się go za stwarzający ryzyko systemowe 44. Musi on przejść testy kontradyktoryjne i dodatkowe oceny ryzyka 45.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3lrs8ie2c9of" w:id="5"/>
      <w:bookmarkEnd w:id="5"/>
      <w:r w:rsidDel="00000000" w:rsidR="00000000" w:rsidRPr="00000000">
        <w:rPr>
          <w:rtl w:val="0"/>
        </w:rPr>
        <w:t xml:space="preserve">4. Przejrzystość wobec użytkowników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Akt nakłada obowiązki informacyjne, aby zapobiec wprowadzaniu w błąd 46: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Użytkownicy muszą wiedzieć, że </w:t>
      </w:r>
      <w:r w:rsidDel="00000000" w:rsidR="00000000" w:rsidRPr="00000000">
        <w:rPr>
          <w:b w:val="1"/>
          <w:bCs w:val="1"/>
          <w:rtl w:val="0"/>
        </w:rPr>
        <w:t xml:space="preserve">wchodzą w interakcję z AI</w:t>
      </w:r>
      <w:r w:rsidDel="00000000" w:rsidR="00000000" w:rsidRPr="00000000">
        <w:rPr>
          <w:rtl w:val="0"/>
        </w:rPr>
        <w:t xml:space="preserve"> (np. chatbotem).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Treści typu </w:t>
      </w:r>
      <w:r w:rsidDel="00000000" w:rsidR="00000000" w:rsidRPr="00000000">
        <w:rPr>
          <w:b w:val="1"/>
          <w:bCs w:val="1"/>
          <w:rtl w:val="0"/>
        </w:rPr>
        <w:t xml:space="preserve">deepfake</w:t>
      </w:r>
      <w:r w:rsidDel="00000000" w:rsidR="00000000" w:rsidRPr="00000000">
        <w:rPr>
          <w:rtl w:val="0"/>
        </w:rPr>
        <w:t xml:space="preserve"> muszą być wyraźnie oznaczone jako sztucznie wygenerowane 47.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Teksty generowane przez AI publikowane w interesie publicznym również podlegają obowiązkowi ujawnienia źródła (chyba że przeszły redakcję człowieka) 48.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v5skte4154im" w:id="6"/>
      <w:bookmarkEnd w:id="6"/>
      <w:r w:rsidDel="00000000" w:rsidR="00000000" w:rsidRPr="00000000">
        <w:rPr>
          <w:rtl w:val="0"/>
        </w:rPr>
        <w:t xml:space="preserve">5. Zarządzanie i wsparcie innowacji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Organy</w:t>
      </w:r>
      <w:r w:rsidDel="00000000" w:rsidR="00000000" w:rsidRPr="00000000">
        <w:rPr>
          <w:rtl w:val="0"/>
        </w:rPr>
        <w:t xml:space="preserve">: Na poziomie UE powstaje </w:t>
      </w:r>
      <w:r w:rsidDel="00000000" w:rsidR="00000000" w:rsidRPr="00000000">
        <w:rPr>
          <w:b w:val="1"/>
          <w:bCs w:val="1"/>
          <w:rtl w:val="0"/>
        </w:rPr>
        <w:t xml:space="preserve">Urząd ds. AI</w:t>
      </w:r>
      <w:r w:rsidDel="00000000" w:rsidR="00000000" w:rsidRPr="00000000">
        <w:rPr>
          <w:rtl w:val="0"/>
        </w:rPr>
        <w:t xml:space="preserve"> oraz Rada ds. AI 49, 50.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Piaskownice regulacyjne</w:t>
      </w:r>
      <w:r w:rsidDel="00000000" w:rsidR="00000000" w:rsidRPr="00000000">
        <w:rPr>
          <w:rtl w:val="0"/>
        </w:rPr>
        <w:t xml:space="preserve">: Państwa członkowskie muszą stworzyć kontrolowane środowiska do testowania innowacyjnej AI przed jej rynkowym debiutem 51, 52.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Wsparcie dla MŚP</w:t>
      </w:r>
      <w:r w:rsidDel="00000000" w:rsidR="00000000" w:rsidRPr="00000000">
        <w:rPr>
          <w:rtl w:val="0"/>
        </w:rPr>
        <w:t xml:space="preserve">: Małe i średnie przedsiębiorstwa mają mieć priorytetowy dostęp do piaskownic i ułatwienia w dokumentacji 53, 54.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rze0ortj7f" w:id="7"/>
      <w:bookmarkEnd w:id="7"/>
      <w:r w:rsidDel="00000000" w:rsidR="00000000" w:rsidRPr="00000000">
        <w:rPr>
          <w:rtl w:val="0"/>
        </w:rPr>
        <w:t xml:space="preserve">6. Kary i terminy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Za nieprzestrzeganie przepisów grożą drastyczne grzywny 55-58: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35 000 000 EUR lub 7% rocznego obrotu</w:t>
      </w:r>
      <w:r w:rsidDel="00000000" w:rsidR="00000000" w:rsidRPr="00000000">
        <w:rPr>
          <w:rtl w:val="0"/>
        </w:rPr>
        <w:t xml:space="preserve"> za stosowanie praktyk zakazanych.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15 000 000 EUR lub 3% obrotu</w:t>
      </w:r>
      <w:r w:rsidDel="00000000" w:rsidR="00000000" w:rsidRPr="00000000">
        <w:rPr>
          <w:rtl w:val="0"/>
        </w:rPr>
        <w:t xml:space="preserve"> za inne naruszenia obowiązków.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MŚP stosuje się niższą z kwot 58.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Harmonogram wdrażania</w:t>
      </w:r>
      <w:r w:rsidDel="00000000" w:rsidR="00000000" w:rsidRPr="00000000">
        <w:rPr>
          <w:rtl w:val="0"/>
        </w:rPr>
        <w:t xml:space="preserve"> 59: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lutego 2025 r.</w:t>
      </w:r>
      <w:r w:rsidDel="00000000" w:rsidR="00000000" w:rsidRPr="00000000">
        <w:rPr>
          <w:rtl w:val="0"/>
        </w:rPr>
        <w:t xml:space="preserve">: Zaczynają obowiązywać zakazy praktyk niedozwolonych.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sierpnia 2025 r.</w:t>
      </w:r>
      <w:r w:rsidDel="00000000" w:rsidR="00000000" w:rsidRPr="00000000">
        <w:rPr>
          <w:rtl w:val="0"/>
        </w:rPr>
        <w:t xml:space="preserve">: Wchodzą w życie zasady dla GPAI i zarządzania.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sierpnia 2026 r.</w:t>
      </w:r>
      <w:r w:rsidDel="00000000" w:rsidR="00000000" w:rsidRPr="00000000">
        <w:rPr>
          <w:rtl w:val="0"/>
        </w:rPr>
        <w:t xml:space="preserve">: Ogólne stosowanie rozporządzenia (w tym większość systemów wysokiego ryzyka).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