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kp2xkpvx3fx" w:id="0"/>
      <w:bookmarkEnd w:id="0"/>
      <w:r w:rsidDel="00000000" w:rsidR="00000000" w:rsidRPr="00000000">
        <w:rPr>
          <w:rtl w:val="0"/>
        </w:rPr>
        <w:t xml:space="preserve">Akt w sprawie sztucznej inteligencji (AI Act) oraz wytyczne dotyczące ochrony danych: Raport briefingowy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c7ow56ln37a5" w:id="1"/>
      <w:bookmarkEnd w:id="1"/>
      <w:r w:rsidDel="00000000" w:rsidR="00000000" w:rsidRPr="00000000">
        <w:rPr>
          <w:rtl w:val="0"/>
        </w:rPr>
        <w:t xml:space="preserve">Podsumowanie menedżerskie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Niniejszy dokument stanowi syntetyczne opracowanie kluczowych aspektów  </w:t>
      </w:r>
      <w:r w:rsidDel="00000000" w:rsidR="00000000" w:rsidRPr="00000000">
        <w:rPr>
          <w:b w:val="1"/>
          <w:bCs w:val="1"/>
          <w:rtl w:val="0"/>
        </w:rPr>
        <w:t xml:space="preserve">Rozporządzenia Parlamentu Europejskiego i Rady (UE) 2024/1689</w:t>
      </w:r>
      <w:r w:rsidDel="00000000" w:rsidR="00000000" w:rsidRPr="00000000">
        <w:rPr>
          <w:rtl w:val="0"/>
        </w:rPr>
        <w:t xml:space="preserve">  (zwanego dalej „aktem w sprawie sztucznej inteligencji” lub „AI Act”) oraz uzupełniających go wytycznych w zakresie zarządzania ryzykiem anonimizacji danych osobowych w procesach AI.Głównym celem nowej regulacji jest poprawa funkcjonowania rynku wewnętrznego UE poprzez ustanowienie jednolitych ram prawnych dla rozwoju, wdrażania i wykorzystywania systemów AI. Rozporządzenie opiera się na  </w:t>
      </w:r>
      <w:r w:rsidDel="00000000" w:rsidR="00000000" w:rsidRPr="00000000">
        <w:rPr>
          <w:b w:val="1"/>
          <w:bCs w:val="1"/>
          <w:rtl w:val="0"/>
        </w:rPr>
        <w:t xml:space="preserve">podejściu zorientowanym na analizie ryzyka</w:t>
      </w:r>
      <w:r w:rsidDel="00000000" w:rsidR="00000000" w:rsidRPr="00000000">
        <w:rPr>
          <w:rtl w:val="0"/>
        </w:rPr>
        <w:t xml:space="preserve"> , wprowadzając kategoryzację systemów AI na te o ryzyku niedopuszczalnym (zakazane), wysokim oraz systemy podlegające specyficznym wymogom przejrzystości.Kluczowe wnioski: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Ochrona wartości:</w:t>
      </w:r>
      <w:r w:rsidDel="00000000" w:rsidR="00000000" w:rsidRPr="00000000">
        <w:rPr>
          <w:rtl w:val="0"/>
        </w:rPr>
        <w:t xml:space="preserve">  AI musi być technologią zorientowaną na człowieka, służącą jego dobrostanowi i chroniącą prawa podstawowe, demokrację oraz środowisko.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Rygorystyczne wymogi:</w:t>
      </w:r>
      <w:r w:rsidDel="00000000" w:rsidR="00000000" w:rsidRPr="00000000">
        <w:rPr>
          <w:rtl w:val="0"/>
        </w:rPr>
        <w:t xml:space="preserve">  Systemy wysokiego ryzyka podlegają surowym normom w zakresie zarządzania danymi, dokumentacji technicznej, nadzoru ludzkiego i cyberbezpieczeństwa.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Modele ogólnego przeznaczenia (GPAI):</w:t>
      </w:r>
      <w:r w:rsidDel="00000000" w:rsidR="00000000" w:rsidRPr="00000000">
        <w:rPr>
          <w:rtl w:val="0"/>
        </w:rPr>
        <w:t xml:space="preserve">  Wprowadzono specjalne zasady dla modeli o dużej skali, w tym tych generujących ryzyko systemowe (próg mocy obliczeniowej powyżej  $10^{25}$  FLOPs).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Innowacje:</w:t>
      </w:r>
      <w:r w:rsidDel="00000000" w:rsidR="00000000" w:rsidRPr="00000000">
        <w:rPr>
          <w:rtl w:val="0"/>
        </w:rPr>
        <w:t xml:space="preserve">  Przewidziano mechanizmy wspierające, takie jak piaskownice regulacyjne, ze szczególnym uwzględnieniem potrzeb MŚP i startupów.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Zarządzanie danymi wizualnymi:</w:t>
      </w:r>
      <w:r w:rsidDel="00000000" w:rsidR="00000000" w:rsidRPr="00000000">
        <w:rPr>
          <w:rtl w:val="0"/>
        </w:rPr>
        <w:t xml:space="preserve">  Organizacje muszą wdrożyć precyzyjne procesy oceny ryzyka w zakresie anonimizacji zdjęć i nagrań wideo wykorzystywanych do trenowania modeli AI.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kvq7glvjfgc6" w:id="2"/>
      <w:bookmarkEnd w:id="2"/>
      <w:r w:rsidDel="00000000" w:rsidR="00000000" w:rsidRPr="00000000">
        <w:rPr>
          <w:rtl w:val="0"/>
        </w:rPr>
        <w:t xml:space="preserve">1. Cele i fundamenty etyczne AI Act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Rozporządzenie ma na celu promowanie bezpiecznej i godnej zaufania sztucznej inteligencji, przy jednoczesnym zapewnieniu swobodnego przepływu towarów i usług opartych na AI w Unii.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xivmy548arjb" w:id="3"/>
      <w:bookmarkEnd w:id="3"/>
      <w:r w:rsidDel="00000000" w:rsidR="00000000" w:rsidRPr="00000000">
        <w:rPr>
          <w:rtl w:val="0"/>
        </w:rPr>
        <w:t xml:space="preserve">Kluczowe zasady etyczne (Wytyczne grupy ekspertów wysokiego szczebla):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Przewodnia i nadzorcza rola człowieka:</w:t>
      </w:r>
      <w:r w:rsidDel="00000000" w:rsidR="00000000" w:rsidRPr="00000000">
        <w:rPr>
          <w:rtl w:val="0"/>
        </w:rPr>
        <w:t xml:space="preserve">  AI jako narzędzie wspomagające, a nie zastępujące ludzką autonomię.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Solidność techniczna i bezpieczeństwo:</w:t>
      </w:r>
      <w:r w:rsidDel="00000000" w:rsidR="00000000" w:rsidRPr="00000000">
        <w:rPr>
          <w:rtl w:val="0"/>
        </w:rPr>
        <w:t xml:space="preserve">  Minimalizacja niezamierzonych szkód i odporność na próby manipulacji.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Ochrona prywatności i zarządzanie danymi:</w:t>
      </w:r>
      <w:r w:rsidDel="00000000" w:rsidR="00000000" w:rsidRPr="00000000">
        <w:rPr>
          <w:rtl w:val="0"/>
        </w:rPr>
        <w:t xml:space="preserve">  Wysokie standardy jakości danych i integralności.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Przejrzystość:</w:t>
      </w:r>
      <w:r w:rsidDel="00000000" w:rsidR="00000000" w:rsidRPr="00000000">
        <w:rPr>
          <w:rtl w:val="0"/>
        </w:rPr>
        <w:t xml:space="preserve">  Możliwość identyfikacji i wytłumaczalności działań systemu.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Różnorodność, niedyskryminacja i sprawiedliwość:</w:t>
      </w:r>
      <w:r w:rsidDel="00000000" w:rsidR="00000000" w:rsidRPr="00000000">
        <w:rPr>
          <w:rtl w:val="0"/>
        </w:rPr>
        <w:t xml:space="preserve">  Unikanie niesprawiedliwej stronniczości.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Dobrostan społeczny i środowiskowy:</w:t>
      </w:r>
      <w:r w:rsidDel="00000000" w:rsidR="00000000" w:rsidRPr="00000000">
        <w:rPr>
          <w:rtl w:val="0"/>
        </w:rPr>
        <w:t xml:space="preserve">  Zrównoważony rozwój i monitorowanie długoterminowego wpływu.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vpxlg3qncyc5" w:id="4"/>
      <w:bookmarkEnd w:id="4"/>
      <w:r w:rsidDel="00000000" w:rsidR="00000000" w:rsidRPr="00000000">
        <w:rPr>
          <w:rtl w:val="0"/>
        </w:rPr>
        <w:t xml:space="preserve">2. Klasyfikacja systemów AI na podstawie ryzyka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Regulacja przyjmuje hierarchiczne podejście do poziomu zagrożenia, jakie stwarzają systemy AI dla interesu publicznego i praw podstawowych.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bclxykxryvn9" w:id="5"/>
      <w:bookmarkEnd w:id="5"/>
      <w:r w:rsidDel="00000000" w:rsidR="00000000" w:rsidRPr="00000000">
        <w:rPr>
          <w:rtl w:val="0"/>
        </w:rPr>
        <w:t xml:space="preserve">2.1. Praktyki zakazane (Ryzyko niedopuszczalne)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 Unii Europejskiej zabrania się wprowadzania do obrotu i wykorzystywania systemów AI, które: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Stosują  </w:t>
      </w:r>
      <w:r w:rsidDel="00000000" w:rsidR="00000000" w:rsidRPr="00000000">
        <w:rPr>
          <w:b w:val="1"/>
          <w:bCs w:val="1"/>
          <w:rtl w:val="0"/>
        </w:rPr>
        <w:t xml:space="preserve">techniki manipulacyjne lub podprogowe</w:t>
      </w:r>
      <w:r w:rsidDel="00000000" w:rsidR="00000000" w:rsidRPr="00000000">
        <w:rPr>
          <w:rtl w:val="0"/>
        </w:rPr>
        <w:t xml:space="preserve">  w celu znaczącej zmiany zachowania człowieka, co może wyrządzić szkodę fizyczną lub psychiczną.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Wykorzystują słabości</w:t>
      </w:r>
      <w:r w:rsidDel="00000000" w:rsidR="00000000" w:rsidRPr="00000000">
        <w:rPr>
          <w:rtl w:val="0"/>
        </w:rPr>
        <w:t xml:space="preserve">  konkretnych grup osób (ze względu na wiek, niepełnosprawność lub sytuację społeczną).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Służą do  </w:t>
      </w:r>
      <w:r w:rsidDel="00000000" w:rsidR="00000000" w:rsidRPr="00000000">
        <w:rPr>
          <w:b w:val="1"/>
          <w:bCs w:val="1"/>
          <w:rtl w:val="0"/>
        </w:rPr>
        <w:t xml:space="preserve">scoringu społecznego</w:t>
      </w:r>
      <w:r w:rsidDel="00000000" w:rsidR="00000000" w:rsidRPr="00000000">
        <w:rPr>
          <w:rtl w:val="0"/>
        </w:rPr>
        <w:t xml:space="preserve">  (klasyfikacji osób fizycznych na podstawie ich zachowań społecznych prowadzącej do niekorzystnego traktowania).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Dokonują  </w:t>
      </w:r>
      <w:r w:rsidDel="00000000" w:rsidR="00000000" w:rsidRPr="00000000">
        <w:rPr>
          <w:b w:val="1"/>
          <w:bCs w:val="1"/>
          <w:rtl w:val="0"/>
        </w:rPr>
        <w:t xml:space="preserve">oceny ryzyka przestępczości</w:t>
      </w:r>
      <w:r w:rsidDel="00000000" w:rsidR="00000000" w:rsidRPr="00000000">
        <w:rPr>
          <w:rtl w:val="0"/>
        </w:rPr>
        <w:t xml:space="preserve">  wyłącznie na podstawie profilowania lub cech osobowości (z wyjątkiem wspierania oceny człowieka opartej na obiektywnych faktach).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Tworzą bazy danych rozpoznawania twarzy poprzez  </w:t>
      </w:r>
      <w:r w:rsidDel="00000000" w:rsidR="00000000" w:rsidRPr="00000000">
        <w:rPr>
          <w:b w:val="1"/>
          <w:bCs w:val="1"/>
          <w:rtl w:val="0"/>
        </w:rPr>
        <w:t xml:space="preserve">nieukierunkowane pozyskiwanie wizerunków</w:t>
      </w:r>
      <w:r w:rsidDel="00000000" w:rsidR="00000000" w:rsidRPr="00000000">
        <w:rPr>
          <w:rtl w:val="0"/>
        </w:rPr>
        <w:t xml:space="preserve">  (scraping) z internetu lub CCTV.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Rozpoznają emocje w miejscu pracy lub edukacji (z wyłączeniem celów medycznych lub bezpieczeństwa).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Wykorzystują  </w:t>
      </w:r>
      <w:r w:rsidDel="00000000" w:rsidR="00000000" w:rsidRPr="00000000">
        <w:rPr>
          <w:b w:val="1"/>
          <w:bCs w:val="1"/>
          <w:rtl w:val="0"/>
        </w:rPr>
        <w:t xml:space="preserve">zdalną identyfikację biometryczną w czasie rzeczywistym</w:t>
      </w:r>
      <w:r w:rsidDel="00000000" w:rsidR="00000000" w:rsidRPr="00000000">
        <w:rPr>
          <w:rtl w:val="0"/>
        </w:rPr>
        <w:t xml:space="preserve">  w przestrzeni publicznej do celów ścigania przestępstw (z wyjątkiem ściśle określonych sytuacji, np. poszukiwania ofiar porwań lub zapobiegania atakom terrorystycznym).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8vtjk0omzrkf" w:id="6"/>
      <w:bookmarkEnd w:id="6"/>
      <w:r w:rsidDel="00000000" w:rsidR="00000000" w:rsidRPr="00000000">
        <w:rPr>
          <w:rtl w:val="0"/>
        </w:rPr>
        <w:t xml:space="preserve">2.2. Systemy wysokiego ryzyka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Zalicza się do nich systemy wykorzystywane w krytycznych obszarach życia społecznego.| Obszar | Przykłady zastosowań || ------ | ------ || </w:t>
      </w:r>
      <w:r w:rsidDel="00000000" w:rsidR="00000000" w:rsidRPr="00000000">
        <w:rPr>
          <w:b w:val="1"/>
          <w:bCs w:val="1"/>
          <w:rtl w:val="0"/>
        </w:rPr>
        <w:t xml:space="preserve">Infrastruktura krytyczna</w:t>
      </w:r>
      <w:r w:rsidDel="00000000" w:rsidR="00000000" w:rsidRPr="00000000">
        <w:rPr>
          <w:rtl w:val="0"/>
        </w:rPr>
        <w:t xml:space="preserve"> | Zarządzanie ruchem drogowym, zaopatrzenie w wodę, gaz, energię elektryczną. || </w:t>
      </w:r>
      <w:r w:rsidDel="00000000" w:rsidR="00000000" w:rsidRPr="00000000">
        <w:rPr>
          <w:b w:val="1"/>
          <w:bCs w:val="1"/>
          <w:rtl w:val="0"/>
        </w:rPr>
        <w:t xml:space="preserve">Kształcenie i szkolenie</w:t>
      </w:r>
      <w:r w:rsidDel="00000000" w:rsidR="00000000" w:rsidRPr="00000000">
        <w:rPr>
          <w:rtl w:val="0"/>
        </w:rPr>
        <w:t xml:space="preserve"> | Decyzje o przyjęciu do szkół, ocenianie wyników nauki, monitorowanie zachowania podczas testów. || </w:t>
      </w:r>
      <w:r w:rsidDel="00000000" w:rsidR="00000000" w:rsidRPr="00000000">
        <w:rPr>
          <w:b w:val="1"/>
          <w:bCs w:val="1"/>
          <w:rtl w:val="0"/>
        </w:rPr>
        <w:t xml:space="preserve">Zatrudnienie i kadry</w:t>
      </w:r>
      <w:r w:rsidDel="00000000" w:rsidR="00000000" w:rsidRPr="00000000">
        <w:rPr>
          <w:rtl w:val="0"/>
        </w:rPr>
        <w:t xml:space="preserve"> | Rekrutacja, selekcja kandydatów, podejmowanie decyzji o awansie lub rozwiązaniu umowy, monitorowanie wydajności. || </w:t>
      </w:r>
      <w:r w:rsidDel="00000000" w:rsidR="00000000" w:rsidRPr="00000000">
        <w:rPr>
          <w:b w:val="1"/>
          <w:bCs w:val="1"/>
          <w:rtl w:val="0"/>
        </w:rPr>
        <w:t xml:space="preserve">Dostęp do usług</w:t>
      </w:r>
      <w:r w:rsidDel="00000000" w:rsidR="00000000" w:rsidRPr="00000000">
        <w:rPr>
          <w:rtl w:val="0"/>
        </w:rPr>
        <w:t xml:space="preserve"> | Scoring kredytowy, ocena zdolności kredytowej, ustalanie uprawnień do świadczeń pomocy społecznej. || </w:t>
      </w:r>
      <w:r w:rsidDel="00000000" w:rsidR="00000000" w:rsidRPr="00000000">
        <w:rPr>
          <w:b w:val="1"/>
          <w:bCs w:val="1"/>
          <w:rtl w:val="0"/>
        </w:rPr>
        <w:t xml:space="preserve">Ściganie przestępstw</w:t>
      </w:r>
      <w:r w:rsidDel="00000000" w:rsidR="00000000" w:rsidRPr="00000000">
        <w:rPr>
          <w:rtl w:val="0"/>
        </w:rPr>
        <w:t xml:space="preserve"> | Ocena wiarygodności dowodów, ocena ryzyka stania się ofiarą, profilowanie (o ile niezakazane). || </w:t>
      </w:r>
      <w:r w:rsidDel="00000000" w:rsidR="00000000" w:rsidRPr="00000000">
        <w:rPr>
          <w:b w:val="1"/>
          <w:bCs w:val="1"/>
          <w:rtl w:val="0"/>
        </w:rPr>
        <w:t xml:space="preserve">Migracja i granice</w:t>
      </w:r>
      <w:r w:rsidDel="00000000" w:rsidR="00000000" w:rsidRPr="00000000">
        <w:rPr>
          <w:rtl w:val="0"/>
        </w:rPr>
        <w:t xml:space="preserve"> | Ocena ryzyka osób wjeżdżających, rozpatrywanie wniosków o azyl i wizy, weryfikacja dowodów. || </w:t>
      </w:r>
      <w:r w:rsidDel="00000000" w:rsidR="00000000" w:rsidRPr="00000000">
        <w:rPr>
          <w:b w:val="1"/>
          <w:bCs w:val="1"/>
          <w:rtl w:val="0"/>
        </w:rPr>
        <w:t xml:space="preserve">Wymiar sprawiedliwości</w:t>
      </w:r>
      <w:r w:rsidDel="00000000" w:rsidR="00000000" w:rsidRPr="00000000">
        <w:rPr>
          <w:rtl w:val="0"/>
        </w:rPr>
        <w:t xml:space="preserve"> | Wspieranie organów sądowych w poszukiwaniu faktów i interpretacji prawa. |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szct3nrpyzew" w:id="7"/>
      <w:bookmarkEnd w:id="7"/>
      <w:r w:rsidDel="00000000" w:rsidR="00000000" w:rsidRPr="00000000">
        <w:rPr>
          <w:rtl w:val="0"/>
        </w:rPr>
        <w:t xml:space="preserve">3. Obowiązki dostawców i podmiotów stosujących systemy wysokiego ryzyka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Systemy wysokiego ryzyka muszą spełniać szereg rygorystycznych wymogów przed wprowadzeniem do obrotu.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2njggke9roe7" w:id="8"/>
      <w:bookmarkEnd w:id="8"/>
      <w:r w:rsidDel="00000000" w:rsidR="00000000" w:rsidRPr="00000000">
        <w:rPr>
          <w:rtl w:val="0"/>
        </w:rPr>
        <w:t xml:space="preserve">Kluczowe wymogi techniczne i organizacyjne: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 zarządzania ryzykiem:</w:t>
      </w:r>
      <w:r w:rsidDel="00000000" w:rsidR="00000000" w:rsidRPr="00000000">
        <w:rPr>
          <w:rtl w:val="0"/>
        </w:rPr>
        <w:t xml:space="preserve">  Ciągły, iteracyjny proces identyfikacji i ograniczania ryzyka przez cały cykl życia systemu.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Zarządzanie danymi:</w:t>
      </w:r>
      <w:r w:rsidDel="00000000" w:rsidR="00000000" w:rsidRPr="00000000">
        <w:rPr>
          <w:rtl w:val="0"/>
        </w:rPr>
        <w:t xml:space="preserve">  Zbiory danych treningowych muszą być adekwatne, reprezentatywne i w jak największym stopniu wolne od błędów. Muszą uwzględniać specyfikę otoczenia geograficznego i behawioralnego.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Dokumentacja techniczna:</w:t>
      </w:r>
      <w:r w:rsidDel="00000000" w:rsidR="00000000" w:rsidRPr="00000000">
        <w:rPr>
          <w:rtl w:val="0"/>
        </w:rPr>
        <w:t xml:space="preserve">  Musi zawierać informacje o algorytmach, procesach trenowania i walidacji oraz systemie zarządzania ryzykiem.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Automatyczne rejestrowanie zdarzeń (Logi):</w:t>
      </w:r>
      <w:r w:rsidDel="00000000" w:rsidR="00000000" w:rsidRPr="00000000">
        <w:rPr>
          <w:rtl w:val="0"/>
        </w:rPr>
        <w:t xml:space="preserve">  Zapewnienie identyfikowalności działania systemu.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Przejrzystość i instrukcje obsługi:</w:t>
      </w:r>
      <w:r w:rsidDel="00000000" w:rsidR="00000000" w:rsidRPr="00000000">
        <w:rPr>
          <w:rtl w:val="0"/>
        </w:rPr>
        <w:t xml:space="preserve">  Podmioty stosujące muszą otrzymać jasne informacje o zdolnościach i ograniczeniach systemu.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Nadzór ze strony człowieka:</w:t>
      </w:r>
      <w:r w:rsidDel="00000000" w:rsidR="00000000" w:rsidRPr="00000000">
        <w:rPr>
          <w:rtl w:val="0"/>
        </w:rPr>
        <w:t xml:space="preserve">  Zapobieganie ryzyku „efektu czarnej skrzynki”. W przypadku systemów biometrycznych wymagana jest weryfikacja przez co najmniej dwie osoby fizyczne.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Cyberbezpieczeństwo:</w:t>
      </w:r>
      <w:r w:rsidDel="00000000" w:rsidR="00000000" w:rsidRPr="00000000">
        <w:rPr>
          <w:rtl w:val="0"/>
        </w:rPr>
        <w:t xml:space="preserve">  Odporność na ataki typu „zatruwanie danych” (data poisoning) czy ataki kontradyktoryjne.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el5o6mj7q0wb" w:id="9"/>
      <w:bookmarkEnd w:id="9"/>
      <w:r w:rsidDel="00000000" w:rsidR="00000000" w:rsidRPr="00000000">
        <w:rPr>
          <w:rtl w:val="0"/>
        </w:rPr>
        <w:t xml:space="preserve">4. Modele AI ogólnego przeznaczenia (GPAI)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Rozporządzenie wprowadza odrębną kategorię dla modeli, które mogą wykonywać szeroki zakres zadań i być integrowane w wielu systemach.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Klasyfikacja ryzyka systemowego:</w:t>
      </w:r>
      <w:r w:rsidDel="00000000" w:rsidR="00000000" w:rsidRPr="00000000">
        <w:rPr>
          <w:rtl w:val="0"/>
        </w:rPr>
        <w:t xml:space="preserve">  Model uznaje się za stwarzający ryzyko systemowe, jeśli posiada „zdolności dużego oddziaływania”. Domniemywa się to, gdy łączna ilość obliczeń użyta do jego trenowania była większa niż  $10^{25}$  operacji zmiennoprzecinkowych (FLOPs).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Obowiązki dostawców GPAI: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Sporządzanie dokumentacji technicznej dla organów nadzoru.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Dostarczanie informacji dostawcom niższego szczebla (integratorom).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Wdrożenie polityki zapewniającej zgodność z unijnym prawem autorskim.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Publikowanie streszczenia treści wykorzystanych do trenowania modelu.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Dodatkowe obowiązki dla modeli z ryzykiem systemowym:</w:t>
      </w:r>
      <w:r w:rsidDel="00000000" w:rsidR="00000000" w:rsidRPr="00000000">
        <w:rPr>
          <w:rtl w:val="0"/>
        </w:rPr>
        <w:t xml:space="preserve">  Przeprowadzanie ocen modeli, testy kontradyktoryjne, zgłaszanie poważnych incydentów oraz zapewnienie wysokiego poziomu cyberbezpieczeństwa.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mxyqvtp9cyfl" w:id="10"/>
      <w:bookmarkEnd w:id="10"/>
      <w:r w:rsidDel="00000000" w:rsidR="00000000" w:rsidRPr="00000000">
        <w:rPr>
          <w:rtl w:val="0"/>
        </w:rPr>
        <w:t xml:space="preserve">5. Przejrzystość i interakcja z ludźmi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Wszystkie systemy AI wchodzące w interakcję z ludźmi podlegają obowiązkom informacyjnym: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Powiadamianie o AI:</w:t>
      </w:r>
      <w:r w:rsidDel="00000000" w:rsidR="00000000" w:rsidRPr="00000000">
        <w:rPr>
          <w:rtl w:val="0"/>
        </w:rPr>
        <w:t xml:space="preserve">  Osoby muszą wiedzieć, że rozmawiają z chatbotem lub wchodzą w interakcję z systemem AI.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Deepfakes:</w:t>
      </w:r>
      <w:r w:rsidDel="00000000" w:rsidR="00000000" w:rsidRPr="00000000">
        <w:rPr>
          <w:rtl w:val="0"/>
        </w:rPr>
        <w:t xml:space="preserve">  Obrazy, dźwięki i filmy, które łudząco przypominają autentyczne osoby lub miejsca (wygenerowane przez AI), muszą być wyraźnie oznakowane.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Treści generowane przez AI:</w:t>
      </w:r>
      <w:r w:rsidDel="00000000" w:rsidR="00000000" w:rsidRPr="00000000">
        <w:rPr>
          <w:rtl w:val="0"/>
        </w:rPr>
        <w:t xml:space="preserve">  Muszą posiadać oznaczenia w formacie nadającym się do odczytu maszynowego, umożliwiające wykrycie ich sztucznego pochodzenia.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ymx0fbepxw6" w:id="11"/>
      <w:bookmarkEnd w:id="11"/>
      <w:r w:rsidDel="00000000" w:rsidR="00000000" w:rsidRPr="00000000">
        <w:rPr>
          <w:rtl w:val="0"/>
        </w:rPr>
        <w:t xml:space="preserve">6. Wspieranie innowacji: Piaskownice regulacyjne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Aby nie hamować rozwoju technologii, państwa członkowskie są zobowiązane do ustanowienia co najmniej jednej  </w:t>
      </w:r>
      <w:r w:rsidDel="00000000" w:rsidR="00000000" w:rsidRPr="00000000">
        <w:rPr>
          <w:b w:val="1"/>
          <w:bCs w:val="1"/>
          <w:rtl w:val="0"/>
        </w:rPr>
        <w:t xml:space="preserve">piaskownicy regulacyjnej w zakresie AI</w:t>
      </w:r>
      <w:r w:rsidDel="00000000" w:rsidR="00000000" w:rsidRPr="00000000">
        <w:rPr>
          <w:rtl w:val="0"/>
        </w:rPr>
        <w:t xml:space="preserve">  na poziomie krajowym.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 Testowanie innowacyjnych systemów AI pod ścisłym nadzorem przed ich wprowadzeniem na rynek.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Ułatwienia dla MŚP:</w:t>
      </w:r>
      <w:r w:rsidDel="00000000" w:rsidR="00000000" w:rsidRPr="00000000">
        <w:rPr>
          <w:rtl w:val="0"/>
        </w:rPr>
        <w:t xml:space="preserve">  Priorytetowy dostęp dla małych i średnich przedsiębiorstw oraz startupów.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Testy w warunkach rzeczywistych:</w:t>
      </w:r>
      <w:r w:rsidDel="00000000" w:rsidR="00000000" w:rsidRPr="00000000">
        <w:rPr>
          <w:rtl w:val="0"/>
        </w:rPr>
        <w:t xml:space="preserve">  Możliwość prowadzenia badań poza piaskownicą pod warunkiem uzyskania świadomej zgody uczestników i posiadania planu testów.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l35znucvneb3" w:id="12"/>
      <w:bookmarkEnd w:id="12"/>
      <w:r w:rsidDel="00000000" w:rsidR="00000000" w:rsidRPr="00000000">
        <w:rPr>
          <w:rtl w:val="0"/>
        </w:rPr>
        <w:t xml:space="preserve">7. Zarządzanie ryzykiem anonimizacji danych osobowych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 procesach związanych z AI szczególnie istotna jest ochrona danych wizualnych (zdjęcia, wideo). Zgodnie z wytycznymi, organizacje powinny przeprowadzić szczegółową ocenę w czterech obszarach: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bwgkc7nnnkti" w:id="13"/>
      <w:bookmarkEnd w:id="13"/>
      <w:r w:rsidDel="00000000" w:rsidR="00000000" w:rsidRPr="00000000">
        <w:rPr>
          <w:rtl w:val="0"/>
        </w:rPr>
        <w:t xml:space="preserve">7.1. Identyfikacja procesów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Należy zidentyfikować wszystkie stanowiska i procesy, w których powstają materiały wizualne z danymi osobowymi, sprawdzając: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 istnieje zgoda osób, których dane dotyczą.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Jaki jest czas przechowywania i komu dane są udostępniane.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 materiały zawierają dane wrażliwe.</w:t>
      </w:r>
    </w:p>
    <w:p w:rsidR="00000000" w:rsidDel="00000000" w:rsidP="00000000" w:rsidRDefault="00000000" w:rsidRPr="00000000" w14:paraId="00000043">
      <w:pPr>
        <w:pStyle w:val="Heading5"/>
        <w:rPr/>
      </w:pPr>
      <w:bookmarkStart w:colFirst="0" w:colLast="0" w:name="_kvkk5ih7w7sm" w:id="14"/>
      <w:bookmarkEnd w:id="14"/>
      <w:r w:rsidDel="00000000" w:rsidR="00000000" w:rsidRPr="00000000">
        <w:rPr>
          <w:rtl w:val="0"/>
        </w:rPr>
        <w:t xml:space="preserve">7.2. Dobór środków mitygujących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 zależności od charakteru modelu AI, organizacja musi zdecydować między: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Pełną anonimizacją</w:t>
      </w:r>
      <w:r w:rsidDel="00000000" w:rsidR="00000000" w:rsidRPr="00000000">
        <w:rPr>
          <w:rtl w:val="0"/>
        </w:rPr>
        <w:t xml:space="preserve">  (nieodwracalna).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Pseudoanonimizacją</w:t>
      </w:r>
      <w:r w:rsidDel="00000000" w:rsidR="00000000" w:rsidRPr="00000000">
        <w:rPr>
          <w:rtl w:val="0"/>
        </w:rPr>
        <w:t xml:space="preserve">  (umożliwiającą identyfikację przy pomocy dodatkowych informacji).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Pozostawieniem danych</w:t>
      </w:r>
      <w:r w:rsidDel="00000000" w:rsidR="00000000" w:rsidRPr="00000000">
        <w:rPr>
          <w:rtl w:val="0"/>
        </w:rPr>
        <w:t xml:space="preserve">  i uzyskaniem wyraźnej zgody.</w:t>
      </w:r>
    </w:p>
    <w:p w:rsidR="00000000" w:rsidDel="00000000" w:rsidP="00000000" w:rsidRDefault="00000000" w:rsidRPr="00000000" w14:paraId="00000048">
      <w:pPr>
        <w:pStyle w:val="Heading5"/>
        <w:rPr/>
      </w:pPr>
      <w:bookmarkStart w:colFirst="0" w:colLast="0" w:name="_8g54m972a8u9" w:id="15"/>
      <w:bookmarkEnd w:id="15"/>
      <w:r w:rsidDel="00000000" w:rsidR="00000000" w:rsidRPr="00000000">
        <w:rPr>
          <w:rtl w:val="0"/>
        </w:rPr>
        <w:t xml:space="preserve">7.3. Strategia wdrażania anonimizacji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Kluczowym aspektem jest moment wykonania anonimizacji: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 źródła:</w:t>
      </w:r>
      <w:r w:rsidDel="00000000" w:rsidR="00000000" w:rsidRPr="00000000">
        <w:rPr>
          <w:rtl w:val="0"/>
        </w:rPr>
        <w:t xml:space="preserve">  Najwyższy poziom ochrony, ryzyko utraty dokładności dla modelu.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serwerze centralnym:</w:t>
      </w:r>
      <w:r w:rsidDel="00000000" w:rsidR="00000000" w:rsidRPr="00000000">
        <w:rPr>
          <w:rtl w:val="0"/>
        </w:rPr>
        <w:t xml:space="preserve">  Łatwiejsze zarządzanie techniczne, większe ryzyko w trakcie przesyłu.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Przed udostępnieniem na zewnątrz:</w:t>
      </w:r>
      <w:r w:rsidDel="00000000" w:rsidR="00000000" w:rsidRPr="00000000">
        <w:rPr>
          <w:rtl w:val="0"/>
        </w:rPr>
        <w:t xml:space="preserve">  Konieczne w przypadku współpracy z podmiotami trzecimi.</w:t>
      </w:r>
    </w:p>
    <w:p w:rsidR="00000000" w:rsidDel="00000000" w:rsidP="00000000" w:rsidRDefault="00000000" w:rsidRPr="00000000" w14:paraId="0000004D">
      <w:pPr>
        <w:pStyle w:val="Heading4"/>
        <w:rPr/>
      </w:pPr>
      <w:bookmarkStart w:colFirst="0" w:colLast="0" w:name="_buz3ryjrfdkc" w:id="16"/>
      <w:bookmarkEnd w:id="16"/>
      <w:r w:rsidDel="00000000" w:rsidR="00000000" w:rsidRPr="00000000">
        <w:rPr>
          <w:rtl w:val="0"/>
        </w:rPr>
        <w:t xml:space="preserve">8. Wybrane cytaty i definicje z AI Act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„Sztuczna inteligencja powinna służyć jako narzędzie dla ludzi, którego ostatecznym celem jest zwiększenie dobrostanu człowieka”. (Motyw 6)</w:t>
      </w:r>
      <w:r w:rsidDel="00000000" w:rsidR="00000000" w:rsidRPr="00000000">
        <w:rPr>
          <w:b w:val="1"/>
          <w:bCs w:val="1"/>
          <w:rtl w:val="0"/>
        </w:rPr>
        <w:t xml:space="preserve">System AI:</w:t>
      </w:r>
      <w:r w:rsidDel="00000000" w:rsidR="00000000" w:rsidRPr="00000000">
        <w:rPr>
          <w:rtl w:val="0"/>
        </w:rPr>
        <w:t xml:space="preserve">  „System maszynowy zaprojektowany tak, aby działał z różnym poziomem autonomii i który może wykazywać zdolność adaptacji po wdrożeniu, oraz który – na potrzeby wyraźnych lub dorozumianych celów – wnioskuje z otrzymanych danych wejściowych, w jaki sposób generować wyniki, takie jak predykcje, treści, zalecenia lub decyzje, które mogą wpływać na środowisko fizyczne lub wirtualne”. (Art. 3)</w:t>
      </w:r>
      <w:r w:rsidDel="00000000" w:rsidR="00000000" w:rsidRPr="00000000">
        <w:rPr>
          <w:b w:val="1"/>
          <w:bCs w:val="1"/>
          <w:rtl w:val="0"/>
        </w:rPr>
        <w:t xml:space="preserve">Podmiot stosujący:</w:t>
      </w:r>
      <w:r w:rsidDel="00000000" w:rsidR="00000000" w:rsidRPr="00000000">
        <w:rPr>
          <w:rtl w:val="0"/>
        </w:rPr>
        <w:t xml:space="preserve">  „Osoba fizyczna lub prawna (...) która wykorzystuje system AI, nad którym sprawuje kontrolę, oprócz przypadków gdy wykorzystywanie systemu AI odbywa się w ramach osobistej działalności pozazawodowej”. (Motyw 13)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6424dgplsyo0" w:id="17"/>
      <w:bookmarkEnd w:id="17"/>
      <w:r w:rsidDel="00000000" w:rsidR="00000000" w:rsidRPr="00000000">
        <w:rPr>
          <w:rtl w:val="0"/>
        </w:rPr>
        <w:t xml:space="preserve">9. Struktura zarządzania i egzekwowania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Nadzór nad stosowaniem rozporządzenia sprawują: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Urząd ds. AI (AI Office):</w:t>
      </w:r>
      <w:r w:rsidDel="00000000" w:rsidR="00000000" w:rsidRPr="00000000">
        <w:rPr>
          <w:rtl w:val="0"/>
        </w:rPr>
        <w:t xml:space="preserve">  Kluczowy organ na poziomie unijnym, monitorujący modele GPAI i ryzyko systemowe.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Europejska Rada ds. Sztucznej Inteligencji:</w:t>
      </w:r>
      <w:r w:rsidDel="00000000" w:rsidR="00000000" w:rsidRPr="00000000">
        <w:rPr>
          <w:rtl w:val="0"/>
        </w:rPr>
        <w:t xml:space="preserve">  Wspiera Komisję i państwa członkowskie w harmonizacji przepisów.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Panel Naukowy:</w:t>
      </w:r>
      <w:r w:rsidDel="00000000" w:rsidR="00000000" w:rsidRPr="00000000">
        <w:rPr>
          <w:rtl w:val="0"/>
        </w:rPr>
        <w:t xml:space="preserve">  Niezależni eksperci wspierający Urząd ds. AI, m.in. poprzez wydawanie ostrzeżeń o ryzyku systemowym.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Krajowe organy nadzoru rynku:</w:t>
      </w:r>
      <w:r w:rsidDel="00000000" w:rsidR="00000000" w:rsidRPr="00000000">
        <w:rPr>
          <w:rtl w:val="0"/>
        </w:rPr>
        <w:t xml:space="preserve">  Odpowiedzialne za egzekwowanie przepisów na poziomie lokalnym.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