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well_name</w:t>
            </w:r>
            <w:proofErr w:type="spellEnd"/>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proofErr w:type="spellStart"/>
            <w:r>
              <w:rPr>
                <w:rFonts w:eastAsiaTheme="minorEastAsia"/>
                <w:kern w:val="24"/>
                <w:highlight w:val="yellow"/>
              </w:rPr>
              <w:t>casing_description</w:t>
            </w:r>
            <w:proofErr w:type="spellEnd"/>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well_type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casing_id</w:t>
            </w:r>
            <w:proofErr w:type="spellEnd"/>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field_name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casing_drift</w:t>
            </w:r>
            <w:proofErr w:type="spellEnd"/>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total_depth</w:t>
            </w:r>
            <w:proofErr w:type="spellEnd"/>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casing_length</w:t>
            </w:r>
            <w:proofErr w:type="spellEnd"/>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w:t>
            </w:r>
            <w:proofErr w:type="spellStart"/>
            <w:r>
              <w:rPr>
                <w:rFonts w:cs="Arial"/>
                <w:b/>
                <w:bCs/>
                <w:color w:val="auto"/>
              </w:rPr>
              <w:t>deg</w:t>
            </w:r>
            <w:proofErr w:type="spellEnd"/>
            <w:r>
              <w:rPr>
                <w:rFonts w:cs="Arial"/>
                <w:b/>
                <w:bCs/>
                <w:color w:val="auto"/>
              </w:rPr>
              <w:t>)</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maximum_deviation</w:t>
            </w:r>
            <w:proofErr w:type="spellEnd"/>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max_dls</w:t>
            </w:r>
            <w:proofErr w:type="spellEnd"/>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proofErr w:type="spellStart"/>
            <w:r>
              <w:rPr>
                <w:rFonts w:eastAsiaTheme="minorEastAsia"/>
                <w:kern w:val="24"/>
                <w:highlight w:val="yellow"/>
              </w:rPr>
              <w:t>reservoir_</w:t>
            </w:r>
            <w:r>
              <w:rPr>
                <w:rFonts w:eastAsiaTheme="minorEastAsia"/>
                <w:kern w:val="24"/>
              </w:rPr>
              <w:t>temp</w:t>
            </w:r>
            <w:proofErr w:type="spellEnd"/>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casing_shoe</w:t>
            </w:r>
            <w:proofErr w:type="spellEnd"/>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proofErr w:type="spellStart"/>
            <w:r>
              <w:rPr>
                <w:rFonts w:eastAsiaTheme="minorEastAsia"/>
                <w:kern w:val="24"/>
                <w:highlight w:val="yellow"/>
              </w:rPr>
              <w:t>Reservior_pressure</w:t>
            </w:r>
            <w:proofErr w:type="spellEnd"/>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open_hole_size</w:t>
            </w:r>
            <w:proofErr w:type="spellEnd"/>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proofErr w:type="spellStart"/>
            <w:r>
              <w:rPr>
                <w:rFonts w:eastAsiaTheme="minorEastAsia"/>
                <w:kern w:val="24"/>
                <w:highlight w:val="yellow"/>
              </w:rPr>
              <w:t>zones_md</w:t>
            </w:r>
            <w:proofErr w:type="spellEnd"/>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open_hole_interval</w:t>
            </w:r>
            <w:proofErr w:type="spellEnd"/>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rig_name</w:t>
            </w:r>
            <w:proofErr w:type="spellEnd"/>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rotary_table_ground</w:t>
            </w:r>
            <w:proofErr w:type="spellEnd"/>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bookmarkStart w:id="0" w:name="_GoBack"/>
        <w:bookmarkEnd w:id="0"/>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tubing_description</w:t>
            </w:r>
            <w:proofErr w:type="spellEnd"/>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tubing_id</w:t>
            </w:r>
            <w:proofErr w:type="spellEnd"/>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tubing_drift</w:t>
            </w:r>
            <w:proofErr w:type="spellEnd"/>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proofErr w:type="gramStart"/>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proofErr w:type="gramEnd"/>
      <w:r w:rsidRPr="00FA3120">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installation_type</w:t>
      </w:r>
      <w:proofErr w:type="spellEnd"/>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screen_type</w:t>
      </w:r>
      <w:proofErr w:type="spellEnd"/>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well_name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1" w:name="_Toc174127611"/>
      <w:r w:rsidRPr="00FA3120">
        <w:t>JOB OBJECTIVES</w:t>
      </w:r>
      <w:bookmarkEnd w:id="1"/>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proofErr w:type="gramStart"/>
      <w:r>
        <w:rPr>
          <w:rFonts w:asciiTheme="minorHAnsi" w:eastAsiaTheme="minorEastAsia" w:hAnsiTheme="minorHAnsi" w:cstheme="minorBidi"/>
          <w:kern w:val="24"/>
        </w:rPr>
        <w:t>`{</w:t>
      </w:r>
      <w:proofErr w:type="gramEnd"/>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well_name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2"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open_hole_size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t>
      </w:r>
      <w:proofErr w:type="spellStart"/>
      <w:r w:rsidRPr="00FA3120">
        <w:rPr>
          <w:rFonts w:asciiTheme="minorHAnsi" w:eastAsiaTheme="minorEastAsia" w:hAnsiTheme="minorHAnsi" w:cstheme="minorBidi"/>
          <w:kern w:val="24"/>
        </w:rPr>
        <w:t>washdown</w:t>
      </w:r>
      <w:proofErr w:type="spellEnd"/>
      <w:r w:rsidRPr="00FA3120">
        <w:rPr>
          <w:rFonts w:asciiTheme="minorHAnsi" w:eastAsiaTheme="minorEastAsia" w:hAnsiTheme="minorHAnsi" w:cstheme="minorBidi"/>
          <w:kern w:val="24"/>
        </w:rPr>
        <w:t xml:space="preserve"> system, swell packers, wire wrap screens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screen_size</w:t>
      </w:r>
      <w:proofErr w:type="spellEnd"/>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2"/>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drill_pipe</w:t>
      </w:r>
      <w:proofErr w:type="spellEnd"/>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proofErr w:type="gramStart"/>
      <w:r>
        <w:rPr>
          <w:rFonts w:asciiTheme="minorHAnsi" w:eastAsiaTheme="minorEastAsia" w:hAnsiTheme="minorHAnsi" w:cstheme="minorBidi"/>
          <w:kern w:val="24"/>
        </w:rPr>
        <w:t>`{</w:t>
      </w:r>
      <w:proofErr w:type="gramEnd"/>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casing_size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completion_fluid</w:t>
      </w:r>
      <w:proofErr w:type="spellEnd"/>
      <w:r>
        <w:rPr>
          <w:rFonts w:asciiTheme="minorHAnsi" w:eastAsiaTheme="minorEastAsia" w:hAnsiTheme="minorHAnsi" w:cstheme="minorBidi"/>
          <w:kern w:val="24"/>
        </w:rPr>
        <w:t xml:space="preserve">}}` </w:t>
      </w:r>
      <w:proofErr w:type="spellStart"/>
      <w:r>
        <w:rPr>
          <w:rFonts w:asciiTheme="minorHAnsi" w:eastAsiaTheme="minorEastAsia" w:hAnsiTheme="minorHAnsi" w:cstheme="minorBidi"/>
          <w:kern w:val="24"/>
        </w:rPr>
        <w:t>Density</w:t>
      </w:r>
      <w:r w:rsidRPr="00FA3120">
        <w:rPr>
          <w:rFonts w:asciiTheme="minorHAnsi" w:eastAsiaTheme="minorEastAsia" w:hAnsiTheme="minorHAnsi" w:cstheme="minorBidi"/>
          <w:kern w:val="24"/>
        </w:rPr>
        <w:t>packer</w:t>
      </w:r>
      <w:proofErr w:type="spellEnd"/>
      <w:r w:rsidRPr="00FA3120">
        <w:rPr>
          <w:rFonts w:asciiTheme="minorHAnsi" w:eastAsiaTheme="minorEastAsia" w:hAnsiTheme="minorHAnsi" w:cstheme="minorBidi"/>
          <w:kern w:val="24"/>
        </w:rPr>
        <w:t xml:space="preserve">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3" w:name="_Toc174127612"/>
      <w:r w:rsidRPr="00FA3120">
        <w:t>HSE OBJECTIVES</w:t>
      </w:r>
      <w:bookmarkEnd w:id="3"/>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192BA9" w:rsidP="00192BA9">
            <w:pPr>
              <w:spacing w:after="160" w:line="259" w:lineRule="auto"/>
            </w:pPr>
            <w:r>
              <w:t>`{{</w:t>
            </w:r>
            <w:r>
              <w:t>pdf2</w:t>
            </w:r>
            <w:r>
              <w:t>_images}}`</w:t>
            </w:r>
          </w:p>
        </w:tc>
      </w:tr>
    </w:tbl>
    <w:p w:rsidR="0040411A" w:rsidRDefault="0040411A"/>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40411A"/>
    <w:rsid w:val="004F7099"/>
    <w:rsid w:val="00554A0E"/>
    <w:rsid w:val="009A4196"/>
    <w:rsid w:val="00A3222B"/>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2024-08-22T15:25:00Z</dcterms:created>
  <dcterms:modified xsi:type="dcterms:W3CDTF">2024-08-22T15:45:00Z</dcterms:modified>
</cp:coreProperties>
</file>