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leftFromText="180" w:rightFromText="180" w:vertAnchor="text" w:tblpXSpec="center" w:tblpY="1"/>
        <w:tblOverlap w:val="never"/>
        <w:tblW w:w="0" w:type="auto"/>
        <w:tblLook w:val="04A0" w:firstRow="1" w:lastRow="0" w:firstColumn="1" w:lastColumn="0" w:noHBand="0" w:noVBand="1"/>
      </w:tblPr>
      <w:tblGrid>
        <w:gridCol w:w="1705"/>
        <w:gridCol w:w="7321"/>
      </w:tblGrid>
      <w:tr w:rsidR="004850AE" w:rsidTr="00DA10EE">
        <w:trPr>
          <w:trHeight w:val="296"/>
        </w:trPr>
        <w:tc>
          <w:tcPr>
            <w:tcW w:w="8490" w:type="dxa"/>
            <w:gridSpan w:val="2"/>
          </w:tcPr>
          <w:p w:rsidR="004850AE" w:rsidRDefault="004850AE" w:rsidP="00803DBC">
            <w:pPr>
              <w:jc w:val="center"/>
              <w:rPr>
                <w:b/>
                <w:i/>
              </w:rPr>
            </w:pPr>
            <w:r>
              <w:rPr>
                <w:b/>
                <w:i/>
              </w:rPr>
              <w:t>Geographical Visualization of Confirmed Cases and Death Cases (Global)</w:t>
            </w:r>
          </w:p>
        </w:tc>
      </w:tr>
      <w:tr w:rsidR="004850AE" w:rsidTr="00DA10EE">
        <w:trPr>
          <w:trHeight w:val="296"/>
        </w:trPr>
        <w:tc>
          <w:tcPr>
            <w:tcW w:w="8490" w:type="dxa"/>
            <w:gridSpan w:val="2"/>
          </w:tcPr>
          <w:p w:rsidR="004850AE" w:rsidRDefault="004850AE" w:rsidP="00803DBC">
            <w:pPr>
              <w:jc w:val="center"/>
              <w:rPr>
                <w:b/>
                <w:i/>
              </w:rPr>
            </w:pPr>
            <w:r>
              <w:rPr>
                <w:b/>
                <w:i/>
              </w:rPr>
              <w:t>General Usage of the Visualization</w:t>
            </w:r>
          </w:p>
          <w:p w:rsidR="004850AE" w:rsidRDefault="004850AE" w:rsidP="004850AE">
            <w:pPr>
              <w:pStyle w:val="ListParagraph"/>
              <w:numPr>
                <w:ilvl w:val="0"/>
                <w:numId w:val="2"/>
              </w:numPr>
              <w:rPr>
                <w:i/>
              </w:rPr>
            </w:pPr>
            <w:r>
              <w:rPr>
                <w:i/>
              </w:rPr>
              <w:t>The Visualization Contains a pulldown bar (Confirmed Cases or Death)</w:t>
            </w:r>
          </w:p>
          <w:p w:rsidR="004850AE" w:rsidRDefault="004850AE" w:rsidP="004850AE">
            <w:pPr>
              <w:pStyle w:val="ListParagraph"/>
              <w:numPr>
                <w:ilvl w:val="0"/>
                <w:numId w:val="2"/>
              </w:numPr>
              <w:rPr>
                <w:i/>
              </w:rPr>
            </w:pPr>
            <w:r>
              <w:rPr>
                <w:i/>
              </w:rPr>
              <w:t xml:space="preserve">The Visualization has a slider for the time frame for which to be observed in the </w:t>
            </w:r>
            <w:proofErr w:type="spellStart"/>
            <w:r>
              <w:rPr>
                <w:i/>
              </w:rPr>
              <w:t>geograph</w:t>
            </w:r>
            <w:proofErr w:type="spellEnd"/>
          </w:p>
          <w:p w:rsidR="004850AE" w:rsidRDefault="004850AE" w:rsidP="004850AE">
            <w:pPr>
              <w:pStyle w:val="ListParagraph"/>
              <w:numPr>
                <w:ilvl w:val="0"/>
                <w:numId w:val="2"/>
              </w:numPr>
              <w:rPr>
                <w:i/>
              </w:rPr>
            </w:pPr>
            <w:r>
              <w:rPr>
                <w:i/>
              </w:rPr>
              <w:t>The options of the visualizations include:</w:t>
            </w:r>
          </w:p>
          <w:p w:rsidR="004850AE" w:rsidRDefault="004850AE" w:rsidP="004850AE">
            <w:pPr>
              <w:pStyle w:val="ListParagraph"/>
              <w:numPr>
                <w:ilvl w:val="1"/>
                <w:numId w:val="2"/>
              </w:numPr>
              <w:rPr>
                <w:i/>
              </w:rPr>
            </w:pPr>
            <w:r>
              <w:rPr>
                <w:i/>
              </w:rPr>
              <w:t>New Cases Over Period</w:t>
            </w:r>
          </w:p>
          <w:p w:rsidR="004850AE" w:rsidRDefault="004850AE" w:rsidP="004850AE">
            <w:pPr>
              <w:pStyle w:val="ListParagraph"/>
              <w:numPr>
                <w:ilvl w:val="1"/>
                <w:numId w:val="2"/>
              </w:numPr>
              <w:rPr>
                <w:i/>
              </w:rPr>
            </w:pPr>
            <w:r>
              <w:rPr>
                <w:i/>
              </w:rPr>
              <w:t>New Cases Over Period/Population</w:t>
            </w:r>
          </w:p>
          <w:p w:rsidR="004850AE" w:rsidRDefault="004850AE" w:rsidP="004850AE">
            <w:pPr>
              <w:pStyle w:val="ListParagraph"/>
              <w:numPr>
                <w:ilvl w:val="1"/>
                <w:numId w:val="2"/>
              </w:numPr>
              <w:rPr>
                <w:i/>
              </w:rPr>
            </w:pPr>
            <w:r>
              <w:rPr>
                <w:i/>
              </w:rPr>
              <w:t>Total cases</w:t>
            </w:r>
          </w:p>
          <w:p w:rsidR="004850AE" w:rsidRDefault="004850AE" w:rsidP="004850AE">
            <w:pPr>
              <w:pStyle w:val="ListParagraph"/>
              <w:numPr>
                <w:ilvl w:val="1"/>
                <w:numId w:val="2"/>
              </w:numPr>
              <w:rPr>
                <w:i/>
              </w:rPr>
            </w:pPr>
            <w:r>
              <w:rPr>
                <w:i/>
              </w:rPr>
              <w:t>Total Cases/Population</w:t>
            </w:r>
          </w:p>
          <w:p w:rsidR="00966A8C" w:rsidRDefault="00966A8C" w:rsidP="00966A8C">
            <w:pPr>
              <w:pStyle w:val="ListParagraph"/>
              <w:numPr>
                <w:ilvl w:val="0"/>
                <w:numId w:val="2"/>
              </w:numPr>
              <w:rPr>
                <w:i/>
              </w:rPr>
            </w:pPr>
            <w:r>
              <w:rPr>
                <w:i/>
              </w:rPr>
              <w:t>The visualization has an interactive feature where if you click on the country of choice, it will visualize the number count of the selected variable</w:t>
            </w:r>
          </w:p>
          <w:p w:rsidR="00966A8C" w:rsidRPr="004850AE" w:rsidRDefault="00966A8C" w:rsidP="00966A8C">
            <w:pPr>
              <w:pStyle w:val="ListParagraph"/>
              <w:numPr>
                <w:ilvl w:val="0"/>
                <w:numId w:val="2"/>
              </w:numPr>
              <w:rPr>
                <w:i/>
              </w:rPr>
            </w:pPr>
            <w:r>
              <w:rPr>
                <w:i/>
              </w:rPr>
              <w:t>Lastly, the color represents the number count of variable selected. The darker, the higher the count</w:t>
            </w:r>
          </w:p>
        </w:tc>
      </w:tr>
      <w:tr w:rsidR="004850AE" w:rsidTr="00DA10EE">
        <w:trPr>
          <w:trHeight w:val="296"/>
        </w:trPr>
        <w:tc>
          <w:tcPr>
            <w:tcW w:w="8490" w:type="dxa"/>
            <w:gridSpan w:val="2"/>
          </w:tcPr>
          <w:p w:rsidR="004850AE" w:rsidRDefault="004850AE" w:rsidP="00803DBC">
            <w:pPr>
              <w:jc w:val="center"/>
              <w:rPr>
                <w:b/>
                <w:i/>
              </w:rPr>
            </w:pPr>
            <w:r>
              <w:rPr>
                <w:b/>
                <w:i/>
                <w:noProof/>
              </w:rPr>
              <w:drawing>
                <wp:inline distT="0" distB="0" distL="0" distR="0">
                  <wp:extent cx="5399405" cy="2558415"/>
                  <wp:effectExtent l="0" t="0" r="0" b="0"/>
                  <wp:docPr id="1" name="Picture 1" descr="C:\Users\dchae2\AppData\Local\Microsoft\Windows\INetCache\Content.Word\General Description Usage (031121_051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7" descr="C:\Users\dchae2\AppData\Local\Microsoft\Windows\INetCache\Content.Word\General Description Usage (031121_05112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99405" cy="2558415"/>
                          </a:xfrm>
                          <a:prstGeom prst="rect">
                            <a:avLst/>
                          </a:prstGeom>
                          <a:noFill/>
                          <a:ln>
                            <a:noFill/>
                          </a:ln>
                        </pic:spPr>
                      </pic:pic>
                    </a:graphicData>
                  </a:graphic>
                </wp:inline>
              </w:drawing>
            </w:r>
          </w:p>
        </w:tc>
      </w:tr>
      <w:tr w:rsidR="00803DBC" w:rsidTr="00DA10EE">
        <w:trPr>
          <w:trHeight w:val="296"/>
        </w:trPr>
        <w:tc>
          <w:tcPr>
            <w:tcW w:w="8490" w:type="dxa"/>
            <w:gridSpan w:val="2"/>
          </w:tcPr>
          <w:p w:rsidR="00803DBC" w:rsidRPr="00803DBC" w:rsidRDefault="00803DBC" w:rsidP="00803DBC">
            <w:pPr>
              <w:jc w:val="center"/>
              <w:rPr>
                <w:b/>
                <w:i/>
              </w:rPr>
            </w:pPr>
            <w:r>
              <w:rPr>
                <w:b/>
                <w:i/>
              </w:rPr>
              <w:t>Change in Confirmed Cases Over 2 month Time Interval</w:t>
            </w:r>
          </w:p>
        </w:tc>
      </w:tr>
      <w:tr w:rsidR="00803DBC" w:rsidTr="00803DBC">
        <w:trPr>
          <w:trHeight w:val="296"/>
        </w:trPr>
        <w:tc>
          <w:tcPr>
            <w:tcW w:w="1705" w:type="dxa"/>
          </w:tcPr>
          <w:p w:rsidR="00803DBC" w:rsidRPr="00803DBC" w:rsidRDefault="00803DBC" w:rsidP="00803DBC">
            <w:pPr>
              <w:jc w:val="center"/>
              <w:rPr>
                <w:b/>
                <w:i/>
              </w:rPr>
            </w:pPr>
            <w:r w:rsidRPr="00803DBC">
              <w:rPr>
                <w:b/>
                <w:i/>
              </w:rPr>
              <w:t>Date</w:t>
            </w:r>
          </w:p>
        </w:tc>
        <w:tc>
          <w:tcPr>
            <w:tcW w:w="6785" w:type="dxa"/>
          </w:tcPr>
          <w:p w:rsidR="00803DBC" w:rsidRPr="00803DBC" w:rsidRDefault="00803DBC" w:rsidP="00803DBC">
            <w:pPr>
              <w:jc w:val="center"/>
              <w:rPr>
                <w:b/>
                <w:i/>
              </w:rPr>
            </w:pPr>
            <w:r w:rsidRPr="00803DBC">
              <w:rPr>
                <w:b/>
                <w:i/>
              </w:rPr>
              <w:t>Screenshot</w:t>
            </w:r>
          </w:p>
        </w:tc>
      </w:tr>
      <w:tr w:rsidR="00803DBC" w:rsidTr="00803DBC">
        <w:trPr>
          <w:trHeight w:val="2787"/>
        </w:trPr>
        <w:tc>
          <w:tcPr>
            <w:tcW w:w="1705" w:type="dxa"/>
          </w:tcPr>
          <w:p w:rsidR="00803DBC" w:rsidRDefault="00803DBC" w:rsidP="00803DBC">
            <w:pPr>
              <w:jc w:val="center"/>
            </w:pPr>
            <w:r>
              <w:t>011020</w:t>
            </w:r>
          </w:p>
          <w:p w:rsidR="00803DBC" w:rsidRDefault="00803DBC" w:rsidP="00803DBC">
            <w:pPr>
              <w:jc w:val="center"/>
            </w:pPr>
            <w:r>
              <w:t>~</w:t>
            </w:r>
          </w:p>
          <w:p w:rsidR="00803DBC" w:rsidRDefault="00803DBC" w:rsidP="00803DBC">
            <w:pPr>
              <w:jc w:val="center"/>
            </w:pPr>
            <w:r>
              <w:t>031120</w:t>
            </w:r>
          </w:p>
        </w:tc>
        <w:tc>
          <w:tcPr>
            <w:tcW w:w="6785" w:type="dxa"/>
          </w:tcPr>
          <w:p w:rsidR="00803DBC" w:rsidRDefault="00803DBC" w:rsidP="00803DBC">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99" type="#_x0000_t75" style="width:323.15pt;height:151.7pt">
                  <v:imagedata r:id="rId6" o:title="Color_Flatten (012220_031120)"/>
                </v:shape>
              </w:pict>
            </w:r>
          </w:p>
        </w:tc>
      </w:tr>
      <w:tr w:rsidR="00803DBC" w:rsidTr="00803DBC">
        <w:trPr>
          <w:trHeight w:val="2787"/>
        </w:trPr>
        <w:tc>
          <w:tcPr>
            <w:tcW w:w="1705" w:type="dxa"/>
          </w:tcPr>
          <w:p w:rsidR="00803DBC" w:rsidRDefault="00803DBC" w:rsidP="00803DBC">
            <w:pPr>
              <w:jc w:val="center"/>
            </w:pPr>
            <w:r>
              <w:t>031120</w:t>
            </w:r>
          </w:p>
          <w:p w:rsidR="00803DBC" w:rsidRDefault="00803DBC" w:rsidP="00803DBC">
            <w:pPr>
              <w:jc w:val="center"/>
            </w:pPr>
            <w:r>
              <w:t>~</w:t>
            </w:r>
          </w:p>
          <w:p w:rsidR="00803DBC" w:rsidRDefault="00803DBC" w:rsidP="00803DBC">
            <w:pPr>
              <w:jc w:val="center"/>
            </w:pPr>
            <w:r>
              <w:t>051120</w:t>
            </w:r>
          </w:p>
        </w:tc>
        <w:tc>
          <w:tcPr>
            <w:tcW w:w="6785" w:type="dxa"/>
          </w:tcPr>
          <w:p w:rsidR="00803DBC" w:rsidRDefault="00803DBC" w:rsidP="00803DBC">
            <w:pPr>
              <w:jc w:val="center"/>
            </w:pPr>
            <w:r>
              <w:pict>
                <v:shape id="_x0000_i2282" type="#_x0000_t75" style="width:324pt;height:152.55pt">
                  <v:imagedata r:id="rId7" o:title="Color_Flatten (031120_051120)"/>
                </v:shape>
              </w:pict>
            </w:r>
          </w:p>
        </w:tc>
      </w:tr>
      <w:tr w:rsidR="00803DBC" w:rsidTr="00803DBC">
        <w:trPr>
          <w:trHeight w:val="2787"/>
        </w:trPr>
        <w:tc>
          <w:tcPr>
            <w:tcW w:w="1705" w:type="dxa"/>
          </w:tcPr>
          <w:p w:rsidR="00803DBC" w:rsidRDefault="00803DBC" w:rsidP="00803DBC">
            <w:pPr>
              <w:jc w:val="center"/>
            </w:pPr>
            <w:r>
              <w:lastRenderedPageBreak/>
              <w:t>051120</w:t>
            </w:r>
          </w:p>
          <w:p w:rsidR="00803DBC" w:rsidRDefault="00803DBC" w:rsidP="00803DBC">
            <w:pPr>
              <w:jc w:val="center"/>
            </w:pPr>
            <w:r>
              <w:t>~</w:t>
            </w:r>
          </w:p>
          <w:p w:rsidR="00803DBC" w:rsidRDefault="00803DBC" w:rsidP="00803DBC">
            <w:pPr>
              <w:jc w:val="center"/>
            </w:pPr>
            <w:r>
              <w:t>071020</w:t>
            </w:r>
          </w:p>
        </w:tc>
        <w:tc>
          <w:tcPr>
            <w:tcW w:w="6785" w:type="dxa"/>
          </w:tcPr>
          <w:p w:rsidR="00803DBC" w:rsidRDefault="00803DBC" w:rsidP="00803DBC">
            <w:pPr>
              <w:jc w:val="center"/>
            </w:pPr>
            <w:r>
              <w:pict>
                <v:shape id="_x0000_i2283" type="#_x0000_t75" style="width:323.15pt;height:151.7pt">
                  <v:imagedata r:id="rId8" o:title="Color_Flatten (051120_071020)"/>
                </v:shape>
              </w:pict>
            </w:r>
          </w:p>
        </w:tc>
      </w:tr>
      <w:tr w:rsidR="00803DBC" w:rsidTr="00803DBC">
        <w:trPr>
          <w:trHeight w:val="2787"/>
        </w:trPr>
        <w:tc>
          <w:tcPr>
            <w:tcW w:w="1705" w:type="dxa"/>
          </w:tcPr>
          <w:p w:rsidR="00803DBC" w:rsidRDefault="00803DBC" w:rsidP="00803DBC">
            <w:pPr>
              <w:jc w:val="center"/>
            </w:pPr>
            <w:r>
              <w:t>071020</w:t>
            </w:r>
          </w:p>
          <w:p w:rsidR="00803DBC" w:rsidRDefault="00803DBC" w:rsidP="00803DBC">
            <w:pPr>
              <w:jc w:val="center"/>
            </w:pPr>
            <w:r>
              <w:t>~</w:t>
            </w:r>
          </w:p>
          <w:p w:rsidR="00803DBC" w:rsidRDefault="00803DBC" w:rsidP="00803DBC">
            <w:pPr>
              <w:jc w:val="center"/>
            </w:pPr>
            <w:r>
              <w:t>091120</w:t>
            </w:r>
          </w:p>
        </w:tc>
        <w:tc>
          <w:tcPr>
            <w:tcW w:w="6785" w:type="dxa"/>
          </w:tcPr>
          <w:p w:rsidR="00803DBC" w:rsidRDefault="00803DBC" w:rsidP="00803DBC">
            <w:pPr>
              <w:jc w:val="center"/>
            </w:pPr>
            <w:r>
              <w:pict>
                <v:shape id="_x0000_i2284" type="#_x0000_t75" style="width:321.45pt;height:151.7pt">
                  <v:imagedata r:id="rId9" o:title="Color_Flatten (071020_091120)"/>
                </v:shape>
              </w:pict>
            </w:r>
          </w:p>
        </w:tc>
      </w:tr>
      <w:tr w:rsidR="00803DBC" w:rsidTr="00803DBC">
        <w:trPr>
          <w:trHeight w:val="2787"/>
        </w:trPr>
        <w:tc>
          <w:tcPr>
            <w:tcW w:w="1705" w:type="dxa"/>
          </w:tcPr>
          <w:p w:rsidR="00803DBC" w:rsidRDefault="00803DBC" w:rsidP="00803DBC">
            <w:pPr>
              <w:jc w:val="center"/>
            </w:pPr>
            <w:r>
              <w:t>091120</w:t>
            </w:r>
          </w:p>
          <w:p w:rsidR="00803DBC" w:rsidRDefault="00803DBC" w:rsidP="00803DBC">
            <w:pPr>
              <w:jc w:val="center"/>
            </w:pPr>
            <w:r>
              <w:t>~</w:t>
            </w:r>
          </w:p>
          <w:p w:rsidR="00803DBC" w:rsidRDefault="00803DBC" w:rsidP="00803DBC">
            <w:pPr>
              <w:jc w:val="center"/>
            </w:pPr>
            <w:r>
              <w:t>111120</w:t>
            </w:r>
          </w:p>
        </w:tc>
        <w:tc>
          <w:tcPr>
            <w:tcW w:w="6785" w:type="dxa"/>
          </w:tcPr>
          <w:p w:rsidR="00803DBC" w:rsidRDefault="00803DBC" w:rsidP="00803DBC">
            <w:pPr>
              <w:jc w:val="center"/>
            </w:pPr>
            <w:r>
              <w:pict>
                <v:shape id="_x0000_i2285" type="#_x0000_t75" style="width:328.3pt;height:154.3pt">
                  <v:imagedata r:id="rId10" o:title="Color_Flatten (091120_111120)"/>
                </v:shape>
              </w:pict>
            </w:r>
          </w:p>
        </w:tc>
      </w:tr>
      <w:tr w:rsidR="00803DBC" w:rsidTr="00803DBC">
        <w:trPr>
          <w:trHeight w:val="2787"/>
        </w:trPr>
        <w:tc>
          <w:tcPr>
            <w:tcW w:w="1705" w:type="dxa"/>
          </w:tcPr>
          <w:p w:rsidR="00803DBC" w:rsidRDefault="00803DBC" w:rsidP="00803DBC">
            <w:pPr>
              <w:jc w:val="center"/>
            </w:pPr>
            <w:r>
              <w:t>111120</w:t>
            </w:r>
          </w:p>
          <w:p w:rsidR="00803DBC" w:rsidRDefault="00803DBC" w:rsidP="00803DBC">
            <w:pPr>
              <w:jc w:val="center"/>
            </w:pPr>
            <w:r>
              <w:t>~</w:t>
            </w:r>
          </w:p>
          <w:p w:rsidR="00803DBC" w:rsidRDefault="00803DBC" w:rsidP="00803DBC">
            <w:pPr>
              <w:jc w:val="center"/>
            </w:pPr>
            <w:r>
              <w:t>011021</w:t>
            </w:r>
          </w:p>
        </w:tc>
        <w:tc>
          <w:tcPr>
            <w:tcW w:w="6785" w:type="dxa"/>
          </w:tcPr>
          <w:p w:rsidR="00803DBC" w:rsidRDefault="00803DBC" w:rsidP="00803DBC">
            <w:pPr>
              <w:jc w:val="center"/>
            </w:pPr>
            <w:r>
              <w:pict>
                <v:shape id="_x0000_i2286" type="#_x0000_t75" style="width:328.3pt;height:154.3pt">
                  <v:imagedata r:id="rId11" o:title="Color_Flatten (111120_011021)"/>
                </v:shape>
              </w:pict>
            </w:r>
          </w:p>
        </w:tc>
      </w:tr>
      <w:tr w:rsidR="00803DBC" w:rsidTr="00803DBC">
        <w:trPr>
          <w:trHeight w:val="2787"/>
        </w:trPr>
        <w:tc>
          <w:tcPr>
            <w:tcW w:w="1705" w:type="dxa"/>
          </w:tcPr>
          <w:p w:rsidR="00803DBC" w:rsidRDefault="00803DBC" w:rsidP="00803DBC">
            <w:pPr>
              <w:jc w:val="center"/>
            </w:pPr>
            <w:r>
              <w:lastRenderedPageBreak/>
              <w:t>011021</w:t>
            </w:r>
          </w:p>
          <w:p w:rsidR="00803DBC" w:rsidRDefault="00803DBC" w:rsidP="00803DBC">
            <w:pPr>
              <w:jc w:val="center"/>
            </w:pPr>
            <w:r>
              <w:t>~</w:t>
            </w:r>
          </w:p>
          <w:p w:rsidR="00803DBC" w:rsidRDefault="00803DBC" w:rsidP="00803DBC">
            <w:pPr>
              <w:jc w:val="center"/>
            </w:pPr>
            <w:r>
              <w:t>031121</w:t>
            </w:r>
          </w:p>
        </w:tc>
        <w:tc>
          <w:tcPr>
            <w:tcW w:w="6785" w:type="dxa"/>
          </w:tcPr>
          <w:p w:rsidR="00803DBC" w:rsidRDefault="00803DBC" w:rsidP="00803DBC">
            <w:pPr>
              <w:jc w:val="center"/>
            </w:pPr>
            <w:r>
              <w:pict>
                <v:shape id="_x0000_i2287" type="#_x0000_t75" style="width:327.45pt;height:153.45pt">
                  <v:imagedata r:id="rId12" o:title="Color_Flatten (011021_031121)"/>
                </v:shape>
              </w:pict>
            </w:r>
          </w:p>
        </w:tc>
      </w:tr>
      <w:tr w:rsidR="00803DBC" w:rsidTr="00803DBC">
        <w:trPr>
          <w:trHeight w:val="2787"/>
        </w:trPr>
        <w:tc>
          <w:tcPr>
            <w:tcW w:w="1705" w:type="dxa"/>
          </w:tcPr>
          <w:p w:rsidR="00803DBC" w:rsidRDefault="00803DBC" w:rsidP="00803DBC">
            <w:pPr>
              <w:jc w:val="center"/>
            </w:pPr>
            <w:r>
              <w:t>031121</w:t>
            </w:r>
          </w:p>
          <w:p w:rsidR="00803DBC" w:rsidRDefault="00803DBC" w:rsidP="00803DBC">
            <w:pPr>
              <w:jc w:val="center"/>
            </w:pPr>
            <w:r>
              <w:t>~</w:t>
            </w:r>
          </w:p>
          <w:p w:rsidR="00803DBC" w:rsidRDefault="00803DBC" w:rsidP="00803DBC">
            <w:pPr>
              <w:jc w:val="center"/>
            </w:pPr>
            <w:r>
              <w:t>051121</w:t>
            </w:r>
          </w:p>
        </w:tc>
        <w:tc>
          <w:tcPr>
            <w:tcW w:w="6785" w:type="dxa"/>
          </w:tcPr>
          <w:p w:rsidR="00803DBC" w:rsidRDefault="00803DBC" w:rsidP="00803DBC">
            <w:pPr>
              <w:jc w:val="center"/>
            </w:pPr>
            <w:r>
              <w:pict>
                <v:shape id="_x0000_i2288" type="#_x0000_t75" style="width:324.85pt;height:152.55pt">
                  <v:imagedata r:id="rId13" o:title="Color_Flatten (031121_051121)"/>
                </v:shape>
              </w:pict>
            </w:r>
          </w:p>
        </w:tc>
      </w:tr>
      <w:tr w:rsidR="00803DBC" w:rsidTr="00F1579A">
        <w:trPr>
          <w:trHeight w:val="2787"/>
        </w:trPr>
        <w:tc>
          <w:tcPr>
            <w:tcW w:w="8490" w:type="dxa"/>
            <w:gridSpan w:val="2"/>
          </w:tcPr>
          <w:p w:rsidR="00803DBC" w:rsidRDefault="00803DBC" w:rsidP="00803DBC">
            <w:pPr>
              <w:pStyle w:val="ListParagraph"/>
              <w:numPr>
                <w:ilvl w:val="0"/>
                <w:numId w:val="1"/>
              </w:numPr>
            </w:pPr>
            <w:r>
              <w:t xml:space="preserve">From this analysis, it is evident that there has been a rapid increase in confirmed cases in the earlier timeframe evidenced by the vast color change in the amount of confirmed cases. As the timeframe </w:t>
            </w:r>
            <w:r w:rsidR="004850AE">
              <w:t>poses to more recent, it is visually clear how the color (signifying confirmed cases count) does not alter as much as the past time intervals. The color of the country signifies the slope of the curve at given times. This shows how the curve of confirmed cases is flattening as the timeline progresses. Such finding is parallel with the COVID-19 Confirmed Cases Count Prediction Model which predicts flattening of the curve with the passing of time.</w:t>
            </w:r>
          </w:p>
          <w:p w:rsidR="00333CAD" w:rsidRDefault="00333CAD" w:rsidP="00333CAD">
            <w:pPr>
              <w:pStyle w:val="ListParagraph"/>
              <w:numPr>
                <w:ilvl w:val="0"/>
                <w:numId w:val="1"/>
              </w:numPr>
            </w:pPr>
            <w:r>
              <w:t xml:space="preserve">Currently, the country with most new confirmed cases is India with </w:t>
            </w:r>
            <w:r w:rsidRPr="00333CAD">
              <w:t>12</w:t>
            </w:r>
            <w:r>
              <w:t>,</w:t>
            </w:r>
            <w:r w:rsidRPr="00333CAD">
              <w:t>078</w:t>
            </w:r>
            <w:r>
              <w:t>,</w:t>
            </w:r>
            <w:r w:rsidRPr="00333CAD">
              <w:t>231</w:t>
            </w:r>
            <w:r>
              <w:t xml:space="preserve"> newly infected.  </w:t>
            </w:r>
          </w:p>
          <w:p w:rsidR="00333CAD" w:rsidRDefault="00333CAD" w:rsidP="00333CAD">
            <w:pPr>
              <w:pStyle w:val="ListParagraph"/>
              <w:numPr>
                <w:ilvl w:val="0"/>
                <w:numId w:val="1"/>
              </w:numPr>
            </w:pPr>
            <w:r>
              <w:t>The African Continent has been least impacted by COVID-19 as the viewer can see from the visualizations above. Consistently, African countries have been yielding low newly confirmed cases, evincing general orange in color since the initial spread of the pandemic.</w:t>
            </w:r>
            <w:bookmarkStart w:id="0" w:name="_GoBack"/>
            <w:bookmarkEnd w:id="0"/>
          </w:p>
        </w:tc>
      </w:tr>
    </w:tbl>
    <w:p w:rsidR="00803DBC" w:rsidRDefault="00803DBC" w:rsidP="00803DBC">
      <w:pPr>
        <w:jc w:val="center"/>
      </w:pPr>
    </w:p>
    <w:p w:rsidR="00803DBC" w:rsidRDefault="00803DBC" w:rsidP="00803DBC">
      <w:pPr>
        <w:jc w:val="center"/>
      </w:pPr>
    </w:p>
    <w:p w:rsidR="00803DBC" w:rsidRDefault="00803DBC" w:rsidP="00803DBC">
      <w:pPr>
        <w:jc w:val="center"/>
      </w:pPr>
    </w:p>
    <w:p w:rsidR="005D1A0F" w:rsidRDefault="00803DBC" w:rsidP="00803DBC">
      <w:pPr>
        <w:jc w:val="center"/>
      </w:pPr>
      <w:r>
        <w:br w:type="textWrapping" w:clear="all"/>
      </w:r>
    </w:p>
    <w:sectPr w:rsidR="005D1A0F" w:rsidSect="00803DB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156DD1"/>
    <w:multiLevelType w:val="hybridMultilevel"/>
    <w:tmpl w:val="1A7456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762118A"/>
    <w:multiLevelType w:val="hybridMultilevel"/>
    <w:tmpl w:val="ECD08B38"/>
    <w:lvl w:ilvl="0" w:tplc="5AC4ADE0">
      <w:start w:val="1"/>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3DBC"/>
    <w:rsid w:val="002645E0"/>
    <w:rsid w:val="00333CAD"/>
    <w:rsid w:val="004850AE"/>
    <w:rsid w:val="00803DBC"/>
    <w:rsid w:val="00966A8C"/>
    <w:rsid w:val="00B865C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77B2C"/>
  <w15:chartTrackingRefBased/>
  <w15:docId w15:val="{BE4C5521-CD2E-45A3-ADC0-831FACA33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03D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03D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3</Pages>
  <Words>282</Words>
  <Characters>1613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2021-05-24T23:50:00Z</dcterms:created>
  <dcterms:modified xsi:type="dcterms:W3CDTF">2021-05-25T00:27:00Z</dcterms:modified>
</cp:coreProperties>
</file>