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9B00" w14:textId="67DD04E7" w:rsidR="00631C57" w:rsidRPr="009560F9" w:rsidRDefault="00631C57" w:rsidP="009A2276">
      <w:pPr>
        <w:jc w:val="cente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Моделирование распространения температурного поля в одномерной квазипериодической градиентной среде</w:t>
      </w:r>
    </w:p>
    <w:p w14:paraId="7DF97498" w14:textId="174B5420" w:rsidR="00631C57" w:rsidRDefault="00D41D87" w:rsidP="009A2276">
      <w:pPr>
        <w:jc w:val="center"/>
        <w:rPr>
          <w:rFonts w:ascii="Cambria Math" w:eastAsiaTheme="minorEastAsia" w:hAnsi="Cambria Math" w:cs="Times New Roman"/>
          <w:i/>
          <w:sz w:val="24"/>
          <w:szCs w:val="24"/>
        </w:rPr>
      </w:pPr>
      <w:r w:rsidRPr="009560F9">
        <w:rPr>
          <w:rFonts w:ascii="Times New Roman" w:eastAsiaTheme="minorEastAsia" w:hAnsi="Times New Roman" w:cs="Times New Roman"/>
          <w:sz w:val="24"/>
          <w:szCs w:val="24"/>
        </w:rPr>
        <w:t>Ершов Г.А.</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1</m:t>
            </m:r>
          </m:sup>
        </m:sSup>
      </m:oMath>
      <w:r w:rsidRPr="009560F9">
        <w:rPr>
          <w:rFonts w:ascii="Times New Roman" w:eastAsiaTheme="minorEastAsia" w:hAnsi="Times New Roman" w:cs="Times New Roman"/>
          <w:sz w:val="24"/>
          <w:szCs w:val="24"/>
        </w:rPr>
        <w:t xml:space="preserve">, </w:t>
      </w:r>
      <w:r w:rsidR="002C03A5" w:rsidRPr="00AC4570">
        <w:rPr>
          <w:rFonts w:ascii="Times New Roman" w:hAnsi="Times New Roman" w:cs="Times New Roman"/>
          <w:sz w:val="24"/>
          <w:szCs w:val="24"/>
        </w:rPr>
        <w:t xml:space="preserve">Кочикина </w:t>
      </w:r>
      <w:r w:rsidR="002C03A5">
        <w:rPr>
          <w:rFonts w:ascii="Times New Roman" w:hAnsi="Times New Roman" w:cs="Times New Roman"/>
          <w:sz w:val="24"/>
          <w:szCs w:val="24"/>
        </w:rPr>
        <w:t>Л.В</w:t>
      </w:r>
      <w:r w:rsidR="002C03A5">
        <w:rPr>
          <w:rFonts w:ascii="Times New Roman" w:hAnsi="Times New Roman" w:cs="Times New Roman"/>
          <w:sz w:val="24"/>
          <w:szCs w:val="24"/>
          <w:lang w:val="en-US"/>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1</m:t>
            </m:r>
          </m:sup>
        </m:sSup>
      </m:oMath>
      <w:r w:rsidRPr="009560F9">
        <w:rPr>
          <w:rFonts w:ascii="Times New Roman" w:eastAsiaTheme="minorEastAsia" w:hAnsi="Times New Roman" w:cs="Times New Roman"/>
          <w:sz w:val="24"/>
          <w:szCs w:val="24"/>
        </w:rPr>
        <w:t>, Филатов В.В.*</w:t>
      </w:r>
      <w:r w:rsidR="009560F9" w:rsidRPr="009560F9">
        <w:rPr>
          <w:rFonts w:ascii="Cambria Math" w:eastAsiaTheme="minorEastAsia" w:hAnsi="Cambria Math" w:cs="Times New Roman"/>
          <w:i/>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1</m:t>
            </m:r>
          </m:sup>
        </m:sSup>
      </m:oMath>
    </w:p>
    <w:p w14:paraId="408639A1" w14:textId="77777777" w:rsidR="00BD43AF" w:rsidRDefault="009560F9" w:rsidP="009A2276">
      <w:pPr>
        <w:jc w:val="center"/>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1</m:t>
            </m:r>
          </m:sup>
        </m:sSup>
      </m:oMath>
      <w:r w:rsidRPr="009560F9">
        <w:rPr>
          <w:rFonts w:ascii="Times New Roman" w:eastAsiaTheme="minorEastAsia" w:hAnsi="Times New Roman" w:cs="Times New Roman"/>
          <w:sz w:val="24"/>
          <w:szCs w:val="24"/>
        </w:rPr>
        <w:t xml:space="preserve"> </w:t>
      </w:r>
      <w:r w:rsidRPr="009560F9">
        <w:rPr>
          <w:rFonts w:ascii="Times New Roman" w:eastAsiaTheme="minorEastAsia" w:hAnsi="Times New Roman" w:cs="Times New Roman"/>
          <w:sz w:val="24"/>
          <w:szCs w:val="24"/>
        </w:rPr>
        <w:t>МГТУ им. Н.Э. Баумана</w:t>
      </w:r>
      <w:r>
        <w:rPr>
          <w:rFonts w:ascii="Times New Roman" w:eastAsiaTheme="minorEastAsia" w:hAnsi="Times New Roman" w:cs="Times New Roman"/>
          <w:sz w:val="24"/>
          <w:szCs w:val="24"/>
        </w:rPr>
        <w:t xml:space="preserve">, </w:t>
      </w:r>
      <w:r w:rsidR="00BD43AF">
        <w:rPr>
          <w:rFonts w:ascii="Times New Roman" w:eastAsiaTheme="minorEastAsia" w:hAnsi="Times New Roman" w:cs="Times New Roman"/>
          <w:sz w:val="24"/>
          <w:szCs w:val="24"/>
        </w:rPr>
        <w:t xml:space="preserve">Москва, </w:t>
      </w:r>
      <w:r>
        <w:rPr>
          <w:rFonts w:ascii="Times New Roman" w:eastAsiaTheme="minorEastAsia" w:hAnsi="Times New Roman" w:cs="Times New Roman"/>
          <w:sz w:val="24"/>
          <w:szCs w:val="24"/>
        </w:rPr>
        <w:t>Россия</w:t>
      </w:r>
    </w:p>
    <w:p w14:paraId="5ED3E088" w14:textId="7DB2697F" w:rsidR="00D41D87" w:rsidRPr="009560F9" w:rsidRDefault="00D41D87" w:rsidP="009A2276">
      <w:pPr>
        <w:jc w:val="cente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E-mail: vvfilatov@bmstu.ru</w:t>
      </w:r>
    </w:p>
    <w:p w14:paraId="5F8C0002" w14:textId="0BC64946" w:rsidR="00D41D87" w:rsidRPr="009560F9" w:rsidRDefault="00D41D87"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Аннотация:</w:t>
      </w:r>
    </w:p>
    <w:p w14:paraId="67E75790" w14:textId="3869F3AE" w:rsidR="00D41D87" w:rsidRPr="009560F9" w:rsidRDefault="00D41D87"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Проведено конечноразностное моделирование распространения тепловых потоков в одномерной квазипериодической градиентной среде, "период" которой линейно возрастает от поверхности вглубь. Исследована зависимость эффективной скорости распространения теплового возмущения от величины градиентности. Полученные результаты могут быть использованы для создания новых теплозащитных покрытий, в том числе для использования в микропроцессорах, выполнен</w:t>
      </w:r>
      <w:r w:rsidR="002453A5">
        <w:rPr>
          <w:rFonts w:ascii="Times New Roman" w:eastAsiaTheme="minorEastAsia" w:hAnsi="Times New Roman" w:cs="Times New Roman"/>
          <w:sz w:val="24"/>
          <w:szCs w:val="24"/>
        </w:rPr>
        <w:t>н</w:t>
      </w:r>
      <w:r w:rsidRPr="009560F9">
        <w:rPr>
          <w:rFonts w:ascii="Times New Roman" w:eastAsiaTheme="minorEastAsia" w:hAnsi="Times New Roman" w:cs="Times New Roman"/>
          <w:sz w:val="24"/>
          <w:szCs w:val="24"/>
        </w:rPr>
        <w:t>ых по нанометровой технологии.</w:t>
      </w:r>
    </w:p>
    <w:p w14:paraId="38850606" w14:textId="3117185D" w:rsidR="00B11675" w:rsidRPr="009560F9" w:rsidRDefault="00D41D87"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Ключевые слова: квазикристалл, градиентность, тепловая защита, конечноразностное моделирование, наноэлектроника.</w:t>
      </w:r>
    </w:p>
    <w:p w14:paraId="3C6BFD4F" w14:textId="4AAAE2DA" w:rsidR="009560F9" w:rsidRPr="009560F9" w:rsidRDefault="009560F9"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Список литературы:</w:t>
      </w:r>
    </w:p>
    <w:p w14:paraId="7EE2C4D8" w14:textId="09018C40" w:rsidR="00D41D87" w:rsidRDefault="00AF528C" w:rsidP="00BD43AF">
      <w:pPr>
        <w:spacing w:line="240" w:lineRule="auto"/>
        <w:jc w:val="both"/>
        <w:rPr>
          <w:rFonts w:ascii="Times New Roman" w:eastAsiaTheme="minorEastAsia" w:hAnsi="Times New Roman" w:cs="Times New Roman"/>
          <w:sz w:val="24"/>
          <w:szCs w:val="24"/>
        </w:rPr>
      </w:pPr>
      <w:r w:rsidRPr="00AF528C">
        <w:rPr>
          <w:rFonts w:ascii="Times New Roman" w:eastAsiaTheme="minorEastAsia" w:hAnsi="Times New Roman" w:cs="Times New Roman"/>
          <w:sz w:val="24"/>
          <w:szCs w:val="24"/>
          <w:lang w:val="en-US"/>
        </w:rPr>
        <w:t>1</w:t>
      </w:r>
      <w:r w:rsidR="009560F9" w:rsidRPr="009560F9">
        <w:rPr>
          <w:rFonts w:ascii="Times New Roman" w:eastAsiaTheme="minorEastAsia" w:hAnsi="Times New Roman" w:cs="Times New Roman"/>
          <w:sz w:val="24"/>
          <w:szCs w:val="24"/>
          <w:lang w:val="en-US"/>
        </w:rPr>
        <w:t xml:space="preserve">. </w:t>
      </w:r>
      <w:r w:rsidR="009560F9" w:rsidRPr="009560F9">
        <w:rPr>
          <w:rFonts w:ascii="Times New Roman" w:eastAsiaTheme="minorEastAsia" w:hAnsi="Times New Roman" w:cs="Times New Roman"/>
          <w:sz w:val="24"/>
          <w:szCs w:val="24"/>
          <w:lang w:val="en-US"/>
        </w:rPr>
        <w:t xml:space="preserve">Gorelik V.S., Pyatyshev A. Yu. Isofrequency temperature anomalies of Raman scattering intensity in quartz crystals // Physics of wave phenomena. </w:t>
      </w:r>
      <w:r w:rsidR="009560F9" w:rsidRPr="009560F9">
        <w:rPr>
          <w:rFonts w:ascii="Times New Roman" w:eastAsiaTheme="minorEastAsia" w:hAnsi="Times New Roman" w:cs="Times New Roman"/>
          <w:sz w:val="24"/>
          <w:szCs w:val="24"/>
        </w:rPr>
        <w:t>2019. V. 27</w:t>
      </w:r>
      <w:r w:rsidR="009560F9" w:rsidRPr="009560F9">
        <w:rPr>
          <w:rFonts w:ascii="Times New Roman" w:eastAsiaTheme="minorEastAsia" w:hAnsi="Times New Roman" w:cs="Times New Roman"/>
          <w:sz w:val="24"/>
          <w:szCs w:val="24"/>
          <w:lang w:val="en-US"/>
        </w:rPr>
        <w:t>.</w:t>
      </w:r>
      <w:r w:rsidR="009560F9" w:rsidRPr="009560F9">
        <w:rPr>
          <w:rFonts w:ascii="Times New Roman" w:eastAsiaTheme="minorEastAsia" w:hAnsi="Times New Roman" w:cs="Times New Roman"/>
          <w:sz w:val="24"/>
          <w:szCs w:val="24"/>
        </w:rPr>
        <w:t xml:space="preserve"> </w:t>
      </w:r>
      <w:r w:rsidR="009560F9" w:rsidRPr="009560F9">
        <w:rPr>
          <w:rFonts w:ascii="Times New Roman" w:eastAsiaTheme="minorEastAsia" w:hAnsi="Times New Roman" w:cs="Times New Roman"/>
          <w:sz w:val="24"/>
          <w:szCs w:val="24"/>
          <w:lang w:val="en-US"/>
        </w:rPr>
        <w:t>I</w:t>
      </w:r>
      <w:r w:rsidR="009560F9" w:rsidRPr="009560F9">
        <w:rPr>
          <w:rFonts w:ascii="Times New Roman" w:eastAsiaTheme="minorEastAsia" w:hAnsi="Times New Roman" w:cs="Times New Roman"/>
          <w:sz w:val="24"/>
          <w:szCs w:val="24"/>
        </w:rPr>
        <w:t>.</w:t>
      </w:r>
      <w:r w:rsidR="009560F9" w:rsidRPr="009560F9">
        <w:rPr>
          <w:rFonts w:ascii="Times New Roman" w:eastAsiaTheme="minorEastAsia" w:hAnsi="Times New Roman" w:cs="Times New Roman"/>
          <w:iCs/>
          <w:sz w:val="24"/>
          <w:szCs w:val="24"/>
        </w:rPr>
        <w:t>–</w:t>
      </w:r>
      <w:r w:rsidR="009560F9" w:rsidRPr="009560F9">
        <w:rPr>
          <w:rFonts w:ascii="Times New Roman" w:eastAsiaTheme="minorEastAsia" w:hAnsi="Times New Roman" w:cs="Times New Roman"/>
          <w:sz w:val="24"/>
          <w:szCs w:val="24"/>
        </w:rPr>
        <w:t>3. P.</w:t>
      </w:r>
      <w:r w:rsidR="009560F9" w:rsidRPr="009560F9">
        <w:rPr>
          <w:rFonts w:ascii="Times New Roman" w:eastAsiaTheme="minorEastAsia" w:hAnsi="Times New Roman" w:cs="Times New Roman"/>
          <w:sz w:val="24"/>
          <w:szCs w:val="24"/>
          <w:lang w:val="en-US"/>
        </w:rPr>
        <w:t>p.</w:t>
      </w:r>
      <w:r w:rsidR="009560F9" w:rsidRPr="009560F9">
        <w:rPr>
          <w:rFonts w:ascii="Times New Roman" w:eastAsiaTheme="minorEastAsia" w:hAnsi="Times New Roman" w:cs="Times New Roman"/>
          <w:sz w:val="24"/>
          <w:szCs w:val="24"/>
        </w:rPr>
        <w:t xml:space="preserve"> 178-186. doi: 10.3103/S1541308X19030026</w:t>
      </w:r>
    </w:p>
    <w:p w14:paraId="0CFB0ACC" w14:textId="77777777" w:rsidR="002453A5" w:rsidRPr="00BD43AF" w:rsidRDefault="002453A5" w:rsidP="00BD43AF">
      <w:pPr>
        <w:spacing w:line="240" w:lineRule="auto"/>
        <w:jc w:val="both"/>
        <w:rPr>
          <w:rFonts w:ascii="Times New Roman" w:eastAsiaTheme="minorEastAsia" w:hAnsi="Times New Roman" w:cs="Times New Roman"/>
          <w:sz w:val="24"/>
          <w:szCs w:val="24"/>
        </w:rPr>
      </w:pPr>
    </w:p>
    <w:p w14:paraId="03A813B4" w14:textId="3CD163C9" w:rsidR="00631C57" w:rsidRPr="00BD43AF" w:rsidRDefault="00631C57" w:rsidP="00BD43AF">
      <w:pPr>
        <w:jc w:val="center"/>
        <w:rPr>
          <w:rFonts w:ascii="Times New Roman" w:eastAsiaTheme="minorEastAsia" w:hAnsi="Times New Roman" w:cs="Times New Roman"/>
          <w:sz w:val="24"/>
          <w:szCs w:val="24"/>
          <w:lang w:val="en-US"/>
        </w:rPr>
      </w:pPr>
      <w:r w:rsidRPr="00BD43AF">
        <w:rPr>
          <w:rFonts w:ascii="Times New Roman" w:eastAsiaTheme="minorEastAsia" w:hAnsi="Times New Roman" w:cs="Times New Roman"/>
          <w:sz w:val="24"/>
          <w:szCs w:val="24"/>
          <w:lang w:val="en-US"/>
        </w:rPr>
        <w:t>Modeling the propagation of a temperature field in a one-dimensional quasi-periodic gradient material</w:t>
      </w:r>
    </w:p>
    <w:p w14:paraId="7D0AE597" w14:textId="2525F897" w:rsidR="00D41D87" w:rsidRDefault="00D41D87" w:rsidP="009A2276">
      <w:pPr>
        <w:jc w:val="center"/>
        <w:rPr>
          <w:rFonts w:ascii="Times New Roman" w:eastAsiaTheme="minorEastAsia" w:hAnsi="Times New Roman" w:cs="Times New Roman"/>
          <w:sz w:val="24"/>
          <w:szCs w:val="24"/>
        </w:rPr>
      </w:pPr>
      <w:r w:rsidRPr="009A2276">
        <w:rPr>
          <w:rFonts w:ascii="Times New Roman" w:eastAsiaTheme="minorEastAsia" w:hAnsi="Times New Roman" w:cs="Times New Roman"/>
          <w:sz w:val="24"/>
          <w:szCs w:val="24"/>
          <w:lang w:val="en-US"/>
        </w:rPr>
        <w:t>Ershov G.A.</w:t>
      </w:r>
      <w:r w:rsidR="009A2276" w:rsidRPr="009A2276">
        <w:rPr>
          <w:rFonts w:ascii="Cambria Math" w:eastAsiaTheme="minorEastAsia" w:hAnsi="Cambria Math" w:cs="Times New Roman"/>
          <w:i/>
          <w:sz w:val="24"/>
          <w:szCs w:val="24"/>
          <w:lang w:val="en-US"/>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e>
          <m:sup>
            <m:r>
              <w:rPr>
                <w:rFonts w:ascii="Cambria Math" w:eastAsiaTheme="minorEastAsia" w:hAnsi="Cambria Math" w:cs="Times New Roman"/>
                <w:sz w:val="24"/>
                <w:szCs w:val="24"/>
                <w:lang w:val="en-US"/>
              </w:rPr>
              <m:t>1</m:t>
            </m:r>
          </m:sup>
        </m:sSup>
      </m:oMath>
      <w:r w:rsidRPr="009A2276">
        <w:rPr>
          <w:rFonts w:ascii="Times New Roman" w:eastAsiaTheme="minorEastAsia" w:hAnsi="Times New Roman" w:cs="Times New Roman"/>
          <w:sz w:val="24"/>
          <w:szCs w:val="24"/>
          <w:lang w:val="en-US"/>
        </w:rPr>
        <w:t>, Kochikina L.V.</w:t>
      </w:r>
      <w:r w:rsidR="009A2276" w:rsidRPr="009A2276">
        <w:rPr>
          <w:rFonts w:ascii="Cambria Math" w:eastAsiaTheme="minorEastAsia" w:hAnsi="Cambria Math" w:cs="Times New Roman"/>
          <w:i/>
          <w:sz w:val="24"/>
          <w:szCs w:val="24"/>
          <w:lang w:val="en-US"/>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e>
          <m:sup>
            <m:r>
              <w:rPr>
                <w:rFonts w:ascii="Cambria Math" w:eastAsiaTheme="minorEastAsia" w:hAnsi="Cambria Math" w:cs="Times New Roman"/>
                <w:sz w:val="24"/>
                <w:szCs w:val="24"/>
                <w:lang w:val="en-US"/>
              </w:rPr>
              <m:t>1</m:t>
            </m:r>
          </m:sup>
        </m:sSup>
      </m:oMath>
      <w:r w:rsidRPr="009560F9">
        <w:rPr>
          <w:rFonts w:ascii="Times New Roman" w:eastAsiaTheme="minorEastAsia" w:hAnsi="Times New Roman" w:cs="Times New Roman"/>
          <w:sz w:val="24"/>
          <w:szCs w:val="24"/>
        </w:rPr>
        <w:t>, Filatov V.V.*</w:t>
      </w:r>
      <w:r w:rsidR="009A2276" w:rsidRPr="009A2276">
        <w:rPr>
          <w:rFonts w:ascii="Cambria Math" w:eastAsiaTheme="minorEastAsia" w:hAnsi="Cambria Math" w:cs="Times New Roman"/>
          <w:i/>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1</m:t>
            </m:r>
          </m:sup>
        </m:sSup>
      </m:oMath>
    </w:p>
    <w:p w14:paraId="73E3C14B" w14:textId="12D86436" w:rsidR="009A2276" w:rsidRPr="009A2276" w:rsidRDefault="009A2276" w:rsidP="009A2276">
      <w:pPr>
        <w:jc w:val="center"/>
        <w:rPr>
          <w:rFonts w:ascii="Times New Roman" w:eastAsiaTheme="minorEastAsia" w:hAnsi="Times New Roman" w:cs="Times New Roman"/>
          <w:sz w:val="24"/>
          <w:szCs w:val="24"/>
          <w:lang w:val="en-US"/>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e>
          <m:sup>
            <m:r>
              <w:rPr>
                <w:rFonts w:ascii="Cambria Math" w:eastAsiaTheme="minorEastAsia" w:hAnsi="Cambria Math" w:cs="Times New Roman"/>
                <w:sz w:val="24"/>
                <w:szCs w:val="24"/>
                <w:lang w:val="en-US"/>
              </w:rPr>
              <m:t>1</m:t>
            </m:r>
          </m:sup>
        </m:sSup>
      </m:oMath>
      <w:r>
        <w:rPr>
          <w:rFonts w:ascii="Times New Roman" w:eastAsiaTheme="minorEastAsia" w:hAnsi="Times New Roman" w:cs="Times New Roman"/>
          <w:sz w:val="24"/>
          <w:szCs w:val="24"/>
          <w:lang w:val="en-US"/>
        </w:rPr>
        <w:t>Bauman Moscow State Technical University, Moscow, Russia</w:t>
      </w:r>
    </w:p>
    <w:p w14:paraId="67F81163" w14:textId="2E15C115" w:rsidR="00631C57" w:rsidRPr="009A2276" w:rsidRDefault="00631C57" w:rsidP="009A2276">
      <w:pPr>
        <w:jc w:val="center"/>
        <w:rPr>
          <w:rFonts w:ascii="Times New Roman" w:eastAsiaTheme="minorEastAsia" w:hAnsi="Times New Roman" w:cs="Times New Roman"/>
          <w:sz w:val="24"/>
          <w:szCs w:val="24"/>
          <w:lang w:val="en-US"/>
        </w:rPr>
      </w:pPr>
      <w:r w:rsidRPr="009A2276">
        <w:rPr>
          <w:rFonts w:ascii="Times New Roman" w:eastAsiaTheme="minorEastAsia" w:hAnsi="Times New Roman" w:cs="Times New Roman"/>
          <w:sz w:val="24"/>
          <w:szCs w:val="24"/>
          <w:lang w:val="en-US"/>
        </w:rPr>
        <w:t>E-mail: vvfilatov@bmstu.ru</w:t>
      </w:r>
    </w:p>
    <w:p w14:paraId="1FCA90E0" w14:textId="74C45357" w:rsidR="00631C57" w:rsidRPr="009A2276" w:rsidRDefault="00631C57" w:rsidP="00D41D87">
      <w:pPr>
        <w:rPr>
          <w:rFonts w:ascii="Times New Roman" w:eastAsiaTheme="minorEastAsia" w:hAnsi="Times New Roman" w:cs="Times New Roman"/>
          <w:sz w:val="24"/>
          <w:szCs w:val="24"/>
          <w:lang w:val="en-US"/>
        </w:rPr>
      </w:pPr>
      <w:r w:rsidRPr="009A2276">
        <w:rPr>
          <w:rFonts w:ascii="Times New Roman" w:eastAsiaTheme="minorEastAsia" w:hAnsi="Times New Roman" w:cs="Times New Roman"/>
          <w:sz w:val="24"/>
          <w:szCs w:val="24"/>
          <w:lang w:val="en-US"/>
        </w:rPr>
        <w:t>Abstract:</w:t>
      </w:r>
    </w:p>
    <w:p w14:paraId="7077354E" w14:textId="63AB470B" w:rsidR="00D7542C" w:rsidRPr="009560F9" w:rsidRDefault="00D7542C"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Finite-difference modeling of heat flux propagation in a one-dimensional quasi-periodic gradient material, the "period" of which increases linearly from the surface to the depth, was</w:t>
      </w:r>
      <w:r w:rsidR="002441F1" w:rsidRPr="009560F9">
        <w:rPr>
          <w:rFonts w:ascii="Times New Roman" w:eastAsiaTheme="minorEastAsia" w:hAnsi="Times New Roman" w:cs="Times New Roman"/>
          <w:sz w:val="24"/>
          <w:szCs w:val="24"/>
        </w:rPr>
        <w:t xml:space="preserve"> described</w:t>
      </w:r>
      <w:r w:rsidRPr="009560F9">
        <w:rPr>
          <w:rFonts w:ascii="Times New Roman" w:eastAsiaTheme="minorEastAsia" w:hAnsi="Times New Roman" w:cs="Times New Roman"/>
          <w:sz w:val="24"/>
          <w:szCs w:val="24"/>
        </w:rPr>
        <w:t xml:space="preserve">. The dependence of the effective propagation velocity of a thermal disturbance on the gradient value was investigated. The obtained results can be used to create new thermal protection coatings, including for use in microprocessors manufactured using nanometer technology. </w:t>
      </w:r>
    </w:p>
    <w:p w14:paraId="5D85C565" w14:textId="4B7F5F48" w:rsidR="00631C57" w:rsidRDefault="00D7542C" w:rsidP="00D41D87">
      <w:pPr>
        <w:rPr>
          <w:rFonts w:ascii="Times New Roman" w:eastAsiaTheme="minorEastAsia" w:hAnsi="Times New Roman" w:cs="Times New Roman"/>
          <w:sz w:val="24"/>
          <w:szCs w:val="24"/>
        </w:rPr>
      </w:pPr>
      <w:r w:rsidRPr="009560F9">
        <w:rPr>
          <w:rFonts w:ascii="Times New Roman" w:eastAsiaTheme="minorEastAsia" w:hAnsi="Times New Roman" w:cs="Times New Roman"/>
          <w:sz w:val="24"/>
          <w:szCs w:val="24"/>
        </w:rPr>
        <w:t>Keywords: quasicrystal, gradient, thermal protection, finite-difference modeling, nanoelectronics.</w:t>
      </w:r>
    </w:p>
    <w:p w14:paraId="7E917566" w14:textId="12A22A05" w:rsidR="00BD43AF" w:rsidRDefault="00BD43AF" w:rsidP="00D41D87">
      <w:pPr>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US"/>
        </w:rPr>
        <w:t>References:</w:t>
      </w:r>
    </w:p>
    <w:p w14:paraId="2FC16273" w14:textId="6CE192F4" w:rsidR="00BD43AF" w:rsidRPr="00BD43AF" w:rsidRDefault="00AF528C" w:rsidP="00D41D87">
      <w:pPr>
        <w:rPr>
          <w:rFonts w:ascii="Times New Roman" w:eastAsiaTheme="minorEastAsia" w:hAnsi="Times New Roman" w:cs="Times New Roman"/>
          <w:sz w:val="24"/>
          <w:szCs w:val="24"/>
        </w:rPr>
      </w:pPr>
      <w:r w:rsidRPr="002453A5">
        <w:rPr>
          <w:rFonts w:ascii="Times New Roman" w:eastAsiaTheme="minorEastAsia" w:hAnsi="Times New Roman" w:cs="Times New Roman"/>
          <w:sz w:val="24"/>
          <w:szCs w:val="24"/>
          <w:lang w:val="en-US"/>
        </w:rPr>
        <w:t>1</w:t>
      </w:r>
      <w:r w:rsidR="00BD43AF" w:rsidRPr="00BD43AF">
        <w:rPr>
          <w:rFonts w:ascii="Times New Roman" w:eastAsiaTheme="minorEastAsia" w:hAnsi="Times New Roman" w:cs="Times New Roman"/>
          <w:sz w:val="24"/>
          <w:szCs w:val="24"/>
          <w:lang w:val="en-US"/>
        </w:rPr>
        <w:t xml:space="preserve">. </w:t>
      </w:r>
      <w:r w:rsidR="00BD43AF" w:rsidRPr="009560F9">
        <w:rPr>
          <w:rFonts w:ascii="Times New Roman" w:eastAsiaTheme="minorEastAsia" w:hAnsi="Times New Roman" w:cs="Times New Roman"/>
          <w:sz w:val="24"/>
          <w:szCs w:val="24"/>
          <w:lang w:val="en-US"/>
        </w:rPr>
        <w:t xml:space="preserve">Gorelik V.S., Pyatyshev A. Yu. Isofrequency temperature anomalies of Raman scattering intensity in quartz crystals // Physics of wave phenomena. </w:t>
      </w:r>
      <w:r w:rsidR="00BD43AF" w:rsidRPr="009560F9">
        <w:rPr>
          <w:rFonts w:ascii="Times New Roman" w:eastAsiaTheme="minorEastAsia" w:hAnsi="Times New Roman" w:cs="Times New Roman"/>
          <w:sz w:val="24"/>
          <w:szCs w:val="24"/>
        </w:rPr>
        <w:t>2019. V. 27</w:t>
      </w:r>
      <w:r w:rsidR="00BD43AF" w:rsidRPr="009560F9">
        <w:rPr>
          <w:rFonts w:ascii="Times New Roman" w:eastAsiaTheme="minorEastAsia" w:hAnsi="Times New Roman" w:cs="Times New Roman"/>
          <w:sz w:val="24"/>
          <w:szCs w:val="24"/>
          <w:lang w:val="en-US"/>
        </w:rPr>
        <w:t>.</w:t>
      </w:r>
      <w:r w:rsidR="00BD43AF" w:rsidRPr="009560F9">
        <w:rPr>
          <w:rFonts w:ascii="Times New Roman" w:eastAsiaTheme="minorEastAsia" w:hAnsi="Times New Roman" w:cs="Times New Roman"/>
          <w:sz w:val="24"/>
          <w:szCs w:val="24"/>
        </w:rPr>
        <w:t xml:space="preserve"> </w:t>
      </w:r>
      <w:r w:rsidR="00BD43AF" w:rsidRPr="009560F9">
        <w:rPr>
          <w:rFonts w:ascii="Times New Roman" w:eastAsiaTheme="minorEastAsia" w:hAnsi="Times New Roman" w:cs="Times New Roman"/>
          <w:sz w:val="24"/>
          <w:szCs w:val="24"/>
          <w:lang w:val="en-US"/>
        </w:rPr>
        <w:t>I</w:t>
      </w:r>
      <w:r w:rsidR="00BD43AF" w:rsidRPr="009560F9">
        <w:rPr>
          <w:rFonts w:ascii="Times New Roman" w:eastAsiaTheme="minorEastAsia" w:hAnsi="Times New Roman" w:cs="Times New Roman"/>
          <w:sz w:val="24"/>
          <w:szCs w:val="24"/>
        </w:rPr>
        <w:t>.</w:t>
      </w:r>
      <w:r w:rsidR="00BD43AF" w:rsidRPr="009560F9">
        <w:rPr>
          <w:rFonts w:ascii="Times New Roman" w:eastAsiaTheme="minorEastAsia" w:hAnsi="Times New Roman" w:cs="Times New Roman"/>
          <w:iCs/>
          <w:sz w:val="24"/>
          <w:szCs w:val="24"/>
        </w:rPr>
        <w:t>–</w:t>
      </w:r>
      <w:r w:rsidR="00BD43AF" w:rsidRPr="009560F9">
        <w:rPr>
          <w:rFonts w:ascii="Times New Roman" w:eastAsiaTheme="minorEastAsia" w:hAnsi="Times New Roman" w:cs="Times New Roman"/>
          <w:sz w:val="24"/>
          <w:szCs w:val="24"/>
        </w:rPr>
        <w:t>3. P.</w:t>
      </w:r>
      <w:r w:rsidR="00BD43AF" w:rsidRPr="009560F9">
        <w:rPr>
          <w:rFonts w:ascii="Times New Roman" w:eastAsiaTheme="minorEastAsia" w:hAnsi="Times New Roman" w:cs="Times New Roman"/>
          <w:sz w:val="24"/>
          <w:szCs w:val="24"/>
          <w:lang w:val="en-US"/>
        </w:rPr>
        <w:t>p.</w:t>
      </w:r>
      <w:r w:rsidR="00BD43AF" w:rsidRPr="009560F9">
        <w:rPr>
          <w:rFonts w:ascii="Times New Roman" w:eastAsiaTheme="minorEastAsia" w:hAnsi="Times New Roman" w:cs="Times New Roman"/>
          <w:sz w:val="24"/>
          <w:szCs w:val="24"/>
        </w:rPr>
        <w:t xml:space="preserve"> 178-186. doi: 10.3103/S1541308X19030026</w:t>
      </w:r>
    </w:p>
    <w:p w14:paraId="1FA3C170" w14:textId="77777777" w:rsidR="00BD43AF" w:rsidRPr="00BD43AF" w:rsidRDefault="00BD43AF" w:rsidP="00D41D87">
      <w:pPr>
        <w:rPr>
          <w:rFonts w:ascii="Times New Roman" w:eastAsiaTheme="minorEastAsia" w:hAnsi="Times New Roman" w:cs="Times New Roman"/>
          <w:sz w:val="24"/>
          <w:szCs w:val="24"/>
          <w:lang w:val="en-US"/>
        </w:rPr>
      </w:pPr>
    </w:p>
    <w:p w14:paraId="035C05C6" w14:textId="77777777" w:rsidR="00D41D87" w:rsidRPr="00631C57" w:rsidRDefault="00D41D87" w:rsidP="00D41D87">
      <w:pPr>
        <w:rPr>
          <w:lang w:val="en-US"/>
        </w:rPr>
      </w:pPr>
    </w:p>
    <w:p w14:paraId="121B90FD" w14:textId="77777777" w:rsidR="00D41D87" w:rsidRPr="00631C57" w:rsidRDefault="00D41D87" w:rsidP="00D41D87">
      <w:pPr>
        <w:rPr>
          <w:lang w:val="en-US"/>
        </w:rPr>
      </w:pPr>
    </w:p>
    <w:sectPr w:rsidR="00D41D87" w:rsidRPr="00631C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A62D5"/>
    <w:multiLevelType w:val="hybridMultilevel"/>
    <w:tmpl w:val="C422F386"/>
    <w:lvl w:ilvl="0" w:tplc="AB682874">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num w:numId="1" w16cid:durableId="224723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87"/>
    <w:rsid w:val="002441F1"/>
    <w:rsid w:val="002453A5"/>
    <w:rsid w:val="002C03A5"/>
    <w:rsid w:val="00390D61"/>
    <w:rsid w:val="00453EF8"/>
    <w:rsid w:val="00631C57"/>
    <w:rsid w:val="00672F88"/>
    <w:rsid w:val="006D3075"/>
    <w:rsid w:val="0083229F"/>
    <w:rsid w:val="009560F9"/>
    <w:rsid w:val="009A2276"/>
    <w:rsid w:val="00AF528C"/>
    <w:rsid w:val="00B11675"/>
    <w:rsid w:val="00BD43AF"/>
    <w:rsid w:val="00CD01EB"/>
    <w:rsid w:val="00D41D87"/>
    <w:rsid w:val="00D754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5EB6"/>
  <w15:chartTrackingRefBased/>
  <w15:docId w15:val="{390C4D10-8B4A-49A9-A27B-A8CB313A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1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41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41D8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41D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41D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41D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1D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1D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1D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1D8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41D8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41D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41D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41D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41D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1D87"/>
    <w:rPr>
      <w:rFonts w:eastAsiaTheme="majorEastAsia" w:cstheme="majorBidi"/>
      <w:color w:val="595959" w:themeColor="text1" w:themeTint="A6"/>
    </w:rPr>
  </w:style>
  <w:style w:type="character" w:customStyle="1" w:styleId="80">
    <w:name w:val="Заголовок 8 Знак"/>
    <w:basedOn w:val="a0"/>
    <w:link w:val="8"/>
    <w:uiPriority w:val="9"/>
    <w:semiHidden/>
    <w:rsid w:val="00D41D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1D87"/>
    <w:rPr>
      <w:rFonts w:eastAsiaTheme="majorEastAsia" w:cstheme="majorBidi"/>
      <w:color w:val="272727" w:themeColor="text1" w:themeTint="D8"/>
    </w:rPr>
  </w:style>
  <w:style w:type="paragraph" w:styleId="a3">
    <w:name w:val="Title"/>
    <w:basedOn w:val="a"/>
    <w:next w:val="a"/>
    <w:link w:val="a4"/>
    <w:uiPriority w:val="10"/>
    <w:qFormat/>
    <w:rsid w:val="00D41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1D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1D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1D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1D87"/>
    <w:pPr>
      <w:spacing w:before="160"/>
      <w:jc w:val="center"/>
    </w:pPr>
    <w:rPr>
      <w:i/>
      <w:iCs/>
      <w:color w:val="404040" w:themeColor="text1" w:themeTint="BF"/>
    </w:rPr>
  </w:style>
  <w:style w:type="character" w:customStyle="1" w:styleId="22">
    <w:name w:val="Цитата 2 Знак"/>
    <w:basedOn w:val="a0"/>
    <w:link w:val="21"/>
    <w:uiPriority w:val="29"/>
    <w:rsid w:val="00D41D87"/>
    <w:rPr>
      <w:i/>
      <w:iCs/>
      <w:color w:val="404040" w:themeColor="text1" w:themeTint="BF"/>
    </w:rPr>
  </w:style>
  <w:style w:type="paragraph" w:styleId="a7">
    <w:name w:val="List Paragraph"/>
    <w:basedOn w:val="a"/>
    <w:uiPriority w:val="34"/>
    <w:qFormat/>
    <w:rsid w:val="00D41D87"/>
    <w:pPr>
      <w:ind w:left="720"/>
      <w:contextualSpacing/>
    </w:pPr>
  </w:style>
  <w:style w:type="character" w:styleId="a8">
    <w:name w:val="Intense Emphasis"/>
    <w:basedOn w:val="a0"/>
    <w:uiPriority w:val="21"/>
    <w:qFormat/>
    <w:rsid w:val="00D41D87"/>
    <w:rPr>
      <w:i/>
      <w:iCs/>
      <w:color w:val="2F5496" w:themeColor="accent1" w:themeShade="BF"/>
    </w:rPr>
  </w:style>
  <w:style w:type="paragraph" w:styleId="a9">
    <w:name w:val="Intense Quote"/>
    <w:basedOn w:val="a"/>
    <w:next w:val="a"/>
    <w:link w:val="aa"/>
    <w:uiPriority w:val="30"/>
    <w:qFormat/>
    <w:rsid w:val="00D41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41D87"/>
    <w:rPr>
      <w:i/>
      <w:iCs/>
      <w:color w:val="2F5496" w:themeColor="accent1" w:themeShade="BF"/>
    </w:rPr>
  </w:style>
  <w:style w:type="character" w:styleId="ab">
    <w:name w:val="Intense Reference"/>
    <w:basedOn w:val="a0"/>
    <w:uiPriority w:val="32"/>
    <w:qFormat/>
    <w:rsid w:val="00D41D87"/>
    <w:rPr>
      <w:b/>
      <w:bCs/>
      <w:smallCaps/>
      <w:color w:val="2F5496" w:themeColor="accent1" w:themeShade="BF"/>
      <w:spacing w:val="5"/>
    </w:rPr>
  </w:style>
  <w:style w:type="character" w:styleId="ac">
    <w:name w:val="Placeholder Text"/>
    <w:basedOn w:val="a0"/>
    <w:uiPriority w:val="99"/>
    <w:semiHidden/>
    <w:rsid w:val="009560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315</Words>
  <Characters>1797</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 Ershov</dc:creator>
  <cp:keywords/>
  <dc:description/>
  <cp:lastModifiedBy>Gleb Ershov</cp:lastModifiedBy>
  <cp:revision>5</cp:revision>
  <dcterms:created xsi:type="dcterms:W3CDTF">2025-09-29T18:44:00Z</dcterms:created>
  <dcterms:modified xsi:type="dcterms:W3CDTF">2025-09-30T05:05:00Z</dcterms:modified>
</cp:coreProperties>
</file>