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4"/>
          <w:szCs w:val="34"/>
        </w:rPr>
      </w:pPr>
      <w:r>
        <w:rPr>
          <w:b/>
          <w:sz w:val="34"/>
          <w:szCs w:val="34"/>
        </w:rPr>
        <w:t xml:space="preserve">Моделирование сближения элементов промежуточного слоя в поле контактных напряжений </w:t>
      </w:r>
    </w:p>
    <w:p>
      <w:pPr>
        <w:pStyle w:val="Normal"/>
        <w:jc w:val="both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Макиева Э.И. 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bookmarkStart w:id="0" w:name="_GoBack"/>
      <w:bookmarkEnd w:id="0"/>
    </w:p>
    <w:p>
      <w:pPr>
        <w:pStyle w:val="Normal"/>
        <w:jc w:val="center"/>
        <w:rPr>
          <w:szCs w:val="28"/>
        </w:rPr>
      </w:pPr>
      <w:r>
        <w:rPr>
          <w:szCs w:val="28"/>
          <w:vertAlign w:val="superscript"/>
        </w:rPr>
        <w:t>1</w:t>
      </w:r>
      <w:r>
        <w:rPr>
          <w:szCs w:val="28"/>
        </w:rPr>
        <w:t>МГУ имени М.В. Ломоносова, Москва, Россия</w:t>
      </w:r>
    </w:p>
    <w:p>
      <w:pPr>
        <w:pStyle w:val="Normal"/>
        <w:jc w:val="center"/>
        <w:rPr>
          <w:color w:val="000000"/>
          <w:szCs w:val="28"/>
        </w:rPr>
      </w:pPr>
      <w:r>
        <w:rPr/>
        <w:t>*</w:t>
      </w:r>
      <w:r>
        <w:rPr>
          <w:lang w:val="en-US"/>
        </w:rPr>
        <w:t xml:space="preserve">E-mail: </w:t>
      </w:r>
      <w:r>
        <w:rPr/>
        <w:t>el</w:t>
      </w:r>
      <w:r>
        <w:rPr/>
        <w:t>l96</w:t>
      </w:r>
      <w:r>
        <w:rPr/>
        <w:t>makieva@gmail.com</w:t>
      </w:r>
    </w:p>
    <w:p>
      <w:pPr>
        <w:pStyle w:val="Normal"/>
        <w:jc w:val="both"/>
        <w:rPr>
          <w:i/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240"/>
        <w:ind w:firstLine="709"/>
        <w:jc w:val="both"/>
        <w:rPr>
          <w:sz w:val="27"/>
          <w:szCs w:val="27"/>
        </w:rPr>
      </w:pPr>
      <w:r>
        <w:rPr>
          <w:b/>
          <w:color w:val="000000"/>
          <w:sz w:val="27"/>
          <w:szCs w:val="27"/>
        </w:rPr>
        <w:t>Аннотация</w:t>
      </w:r>
    </w:p>
    <w:p>
      <w:pPr>
        <w:pStyle w:val="Normal"/>
        <w:spacing w:lineRule="auto" w:line="240"/>
        <w:ind w:firstLine="709"/>
        <w:jc w:val="both"/>
        <w:rPr>
          <w:sz w:val="27"/>
          <w:szCs w:val="27"/>
        </w:rPr>
      </w:pPr>
      <w:r>
        <w:rPr>
          <w:color w:val="000000"/>
          <w:sz w:val="27"/>
          <w:szCs w:val="27"/>
        </w:rPr>
        <w:t xml:space="preserve">При контакте деформируемых тел с трением их поверхности нередко претерпевают хрупкое разрушение, и между телами возникает слой из выколотых элементов. Эволюция структуры слоя сказывается на скорости изнашивания тел, ее изучение может быть полезно для проектирования режимов обработки материалов. Рассматривается задача о взаимодействии соседних элементов слоя, определяемом напряженно-деформированным состоянием в их окрестности, и исследуются механизмы их самоорганизации. </w:t>
      </w:r>
    </w:p>
    <w:p>
      <w:pPr>
        <w:pStyle w:val="Normal"/>
        <w:spacing w:lineRule="auto" w:line="240"/>
        <w:ind w:firstLine="709"/>
        <w:jc w:val="both"/>
        <w:rPr>
          <w:sz w:val="27"/>
          <w:szCs w:val="27"/>
        </w:rPr>
      </w:pPr>
      <w:r>
        <w:rPr>
          <w:b/>
          <w:i/>
          <w:sz w:val="27"/>
          <w:szCs w:val="27"/>
        </w:rPr>
        <w:t>Ключевые слова:</w:t>
      </w:r>
      <w:r>
        <w:rPr>
          <w:i/>
          <w:sz w:val="27"/>
          <w:szCs w:val="27"/>
        </w:rPr>
        <w:t xml:space="preserve"> трение, промежуточный слой, перемещение, микропроскальзывание, сухое трение, связи, сингулярные возмущени</w:t>
      </w:r>
      <w:r>
        <w:rPr>
          <w:i/>
          <w:sz w:val="27"/>
          <w:szCs w:val="27"/>
        </w:rPr>
        <w:t>я</w:t>
      </w:r>
      <w:r>
        <w:rPr>
          <w:i/>
          <w:sz w:val="27"/>
          <w:szCs w:val="27"/>
        </w:rPr>
        <w:t>.</w:t>
      </w:r>
    </w:p>
    <w:p>
      <w:pPr>
        <w:pStyle w:val="Normal"/>
        <w:spacing w:lineRule="auto" w:line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/>
      </w:pPr>
      <w:r>
        <w:rPr>
          <w:b/>
          <w:sz w:val="28"/>
          <w:szCs w:val="28"/>
        </w:rPr>
        <w:t>Литература</w:t>
      </w:r>
    </w:p>
    <w:p>
      <w:pPr>
        <w:pStyle w:val="Normal"/>
        <w:ind w:firstLine="709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1. Влахова А.В. Математические модели движения колесных аппаратов. М.–Ижевск: АНО ИКИ, 2014. 148 с.</w:t>
      </w:r>
    </w:p>
    <w:p>
      <w:pPr>
        <w:pStyle w:val="Normal"/>
        <w:ind w:firstLine="709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2. Гольдштейн Р.В., Осипенко Н.М. Моделирование механизма движений в промежуточном слое между контактирующими телами при сдвиге со сжатием // Изв. РАН. МТТ. 2016. № 3. С. 55–70.</w:t>
      </w:r>
    </w:p>
    <w:p>
      <w:pPr>
        <w:pStyle w:val="Normal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ind w:firstLine="709"/>
        <w:jc w:val="center"/>
        <w:rPr/>
      </w:pPr>
      <w:r>
        <w:rPr>
          <w:rStyle w:val="Tlidtranslation"/>
          <w:b/>
          <w:sz w:val="34"/>
          <w:szCs w:val="34"/>
          <w:lang w:val="en-US"/>
        </w:rPr>
        <w:t xml:space="preserve">Modeling the Mutual Approach of Third-Body Layer Elements in a Contact Stress Field </w:t>
      </w:r>
    </w:p>
    <w:p>
      <w:pPr>
        <w:pStyle w:val="Normal"/>
        <w:ind w:firstLine="709"/>
        <w:jc w:val="both"/>
        <w:rPr>
          <w:rStyle w:val="Tlidtranslation"/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ind w:firstLine="709"/>
        <w:jc w:val="center"/>
        <w:rPr>
          <w:rStyle w:val="Tlidtranslation"/>
          <w:sz w:val="28"/>
          <w:szCs w:val="28"/>
          <w:vertAlign w:val="superscript"/>
          <w:lang w:val="en-US"/>
        </w:rPr>
      </w:pPr>
      <w:r>
        <w:rPr>
          <w:rStyle w:val="Tlidtranslation"/>
          <w:sz w:val="28"/>
          <w:szCs w:val="28"/>
          <w:lang w:val="en-US"/>
        </w:rPr>
        <w:t>Makieva Elina</w:t>
      </w:r>
      <w:r>
        <w:rPr>
          <w:rStyle w:val="Tlidtranslation"/>
          <w:sz w:val="28"/>
          <w:szCs w:val="28"/>
          <w:vertAlign w:val="superscript"/>
          <w:lang w:val="en-US"/>
        </w:rPr>
        <w:t>1</w:t>
      </w:r>
    </w:p>
    <w:p>
      <w:pPr>
        <w:pStyle w:val="NormalWeb"/>
        <w:spacing w:beforeAutospacing="0" w:before="0" w:afterAutospacing="0" w:after="0"/>
        <w:jc w:val="center"/>
        <w:rPr>
          <w:lang w:val="en-US"/>
        </w:rPr>
      </w:pPr>
      <w:r>
        <w:rPr>
          <w:vertAlign w:val="superscript"/>
          <w:lang w:val="en-US"/>
        </w:rPr>
        <w:t xml:space="preserve"> </w:t>
      </w:r>
      <w:r>
        <w:rPr>
          <w:vertAlign w:val="superscript"/>
          <w:lang w:val="en-US"/>
        </w:rPr>
        <w:t>1</w:t>
      </w:r>
      <w:r>
        <w:rPr>
          <w:lang w:val="en-US"/>
        </w:rPr>
        <w:t>Lomonosov Moscow State University, Moscow, Russia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E-mail (speaker): el</w:t>
      </w:r>
      <w:r>
        <w:rPr>
          <w:lang w:val="en-US"/>
        </w:rPr>
        <w:t>l96</w:t>
      </w:r>
      <w:r>
        <w:rPr>
          <w:lang w:val="en-US"/>
        </w:rPr>
        <w:t>makieva@gmail.com</w:t>
      </w:r>
    </w:p>
    <w:p>
      <w:pPr>
        <w:pStyle w:val="Normal"/>
        <w:jc w:val="center"/>
        <w:rPr>
          <w:rStyle w:val="Tlidtranslation"/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ind w:firstLine="709"/>
        <w:jc w:val="both"/>
        <w:rPr/>
      </w:pPr>
      <w:r>
        <w:rPr>
          <w:rStyle w:val="Tlidtranslation"/>
          <w:b/>
          <w:sz w:val="27"/>
          <w:szCs w:val="27"/>
        </w:rPr>
        <w:t>А</w:t>
      </w:r>
      <w:r>
        <w:rPr>
          <w:rStyle w:val="Tlidtranslation"/>
          <w:b/>
          <w:sz w:val="27"/>
          <w:szCs w:val="27"/>
          <w:lang w:val="en-US"/>
        </w:rPr>
        <w:t>nnotation</w:t>
      </w:r>
    </w:p>
    <w:p>
      <w:pPr>
        <w:pStyle w:val="Normal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During frictional contact of deformable bodies, their surfaces may undergo brittle fracture, forming a third-body layer of spalled particles between the bodies. The evolution of this layer’s structure affects wear rates; understanding it can inform the design of material-processing regimes. We study the interaction of neighboring layer elements as determined by the local stress–strain field and examine mechanisms of their self-organization. </w:t>
      </w:r>
    </w:p>
    <w:p>
      <w:pPr>
        <w:pStyle w:val="Normal"/>
        <w:ind w:firstLine="851"/>
        <w:rPr>
          <w:sz w:val="27"/>
          <w:szCs w:val="27"/>
        </w:rPr>
      </w:pPr>
      <w:r>
        <w:rPr>
          <w:b/>
          <w:i/>
          <w:sz w:val="27"/>
          <w:szCs w:val="27"/>
          <w:lang w:val="en-US"/>
        </w:rPr>
        <w:t>Keywords:</w:t>
      </w:r>
      <w:r>
        <w:rPr>
          <w:b/>
          <w:sz w:val="27"/>
          <w:szCs w:val="27"/>
          <w:lang w:val="en-US"/>
        </w:rPr>
        <w:t xml:space="preserve"> </w:t>
      </w:r>
      <w:r>
        <w:rPr>
          <w:b w:val="false"/>
          <w:bCs w:val="false"/>
          <w:i/>
          <w:iCs/>
          <w:sz w:val="27"/>
          <w:szCs w:val="27"/>
          <w:lang w:val="en-US"/>
        </w:rPr>
        <w:t>friction, intermediate layer, displacement, micro-slip, dry friction, bonds, singular perturbations.</w:t>
      </w:r>
    </w:p>
    <w:p>
      <w:pPr>
        <w:pStyle w:val="Normal"/>
        <w:ind w:firstLine="851"/>
        <w:rPr>
          <w:b/>
          <w:b/>
          <w:sz w:val="27"/>
          <w:szCs w:val="27"/>
          <w:lang w:val="en-US"/>
        </w:rPr>
      </w:pPr>
      <w:r>
        <w:rPr>
          <w:b/>
          <w:sz w:val="27"/>
          <w:szCs w:val="27"/>
          <w:lang w:val="en-US"/>
        </w:rPr>
      </w:r>
    </w:p>
    <w:p>
      <w:pPr>
        <w:pStyle w:val="Normal"/>
        <w:ind w:firstLine="851"/>
        <w:rPr>
          <w:sz w:val="27"/>
          <w:szCs w:val="27"/>
        </w:rPr>
      </w:pPr>
      <w:r>
        <w:rPr>
          <w:b/>
          <w:sz w:val="27"/>
          <w:szCs w:val="27"/>
        </w:rPr>
        <w:t>References</w:t>
      </w:r>
    </w:p>
    <w:p>
      <w:pPr>
        <w:pStyle w:val="Style17"/>
        <w:spacing w:lineRule="auto" w:line="240" w:before="0" w:after="83"/>
        <w:ind w:firstLine="851"/>
        <w:rPr/>
      </w:pPr>
      <w:r>
        <w:rPr>
          <w:rStyle w:val="Style14"/>
          <w:b w:val="false"/>
          <w:bCs w:val="false"/>
          <w:sz w:val="24"/>
          <w:szCs w:val="24"/>
        </w:rPr>
        <w:t>1. Vlakhova A.V.</w:t>
      </w:r>
      <w:r>
        <w:rPr>
          <w:b w:val="false"/>
          <w:bCs w:val="false"/>
          <w:sz w:val="24"/>
          <w:szCs w:val="24"/>
        </w:rPr>
        <w:t xml:space="preserve"> Matematicheskie modeli dvizheniya kolesnykh apparatov. </w:t>
      </w:r>
      <w:r>
        <w:rPr>
          <w:rStyle w:val="Style14"/>
          <w:b w:val="false"/>
          <w:bCs w:val="false"/>
          <w:sz w:val="24"/>
          <w:szCs w:val="24"/>
        </w:rPr>
        <w:t>M.–Izhevsk:</w:t>
      </w:r>
      <w:r>
        <w:rPr>
          <w:b w:val="false"/>
          <w:bCs w:val="false"/>
          <w:sz w:val="24"/>
          <w:szCs w:val="24"/>
        </w:rPr>
        <w:t xml:space="preserve"> ANO IKI, 2014. 148 s.</w:t>
      </w:r>
    </w:p>
    <w:p>
      <w:pPr>
        <w:pStyle w:val="Style17"/>
        <w:spacing w:lineRule="auto" w:line="240" w:before="0" w:after="83"/>
        <w:ind w:firstLine="851"/>
        <w:rPr/>
      </w:pPr>
      <w:r>
        <w:rPr>
          <w:rStyle w:val="Style14"/>
          <w:b w:val="false"/>
          <w:bCs w:val="false"/>
          <w:sz w:val="24"/>
          <w:szCs w:val="24"/>
        </w:rPr>
        <w:t>2. Gol'dshtein R.V., Osipenko N.M.</w:t>
      </w:r>
      <w:r>
        <w:rPr>
          <w:b w:val="false"/>
          <w:bCs w:val="false"/>
          <w:sz w:val="24"/>
          <w:szCs w:val="24"/>
        </w:rPr>
        <w:t xml:space="preserve"> Modelirovanie mekhanizma dvizhenii v promezhutochnom sloe mezhdu kontaktiruyushchimi telami pri sdvige so szhatiem // </w:t>
      </w:r>
      <w:r>
        <w:rPr>
          <w:rStyle w:val="Style14"/>
          <w:b w:val="false"/>
          <w:bCs w:val="false"/>
          <w:sz w:val="24"/>
          <w:szCs w:val="24"/>
        </w:rPr>
        <w:t>Izv. RAN. MTT.</w:t>
      </w:r>
      <w:r>
        <w:rPr>
          <w:b w:val="false"/>
          <w:bCs w:val="false"/>
          <w:sz w:val="24"/>
          <w:szCs w:val="24"/>
        </w:rPr>
        <w:t xml:space="preserve"> 2016. № 3. S. 55–70.</w:t>
      </w:r>
    </w:p>
    <w:sectPr>
      <w:type w:val="nextPage"/>
      <w:pgSz w:w="11906" w:h="16838"/>
      <w:pgMar w:left="1701" w:right="707" w:gutter="0" w:header="0" w:top="780" w:footer="0" w:bottom="9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a1e0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lidtranslation" w:customStyle="1">
    <w:name w:val="tlid-translation"/>
    <w:basedOn w:val="DefaultParagraphFont"/>
    <w:qFormat/>
    <w:rsid w:val="00fa1e0d"/>
    <w:rPr/>
  </w:style>
  <w:style w:type="character" w:styleId="Style14">
    <w:name w:val="Выделение жирным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fa1e0d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LibreOffice/7.3.7.2$Linux_X86_64 LibreOffice_project/30$Build-2</Application>
  <AppVersion>15.0000</AppVersion>
  <Pages>1</Pages>
  <Words>276</Words>
  <Characters>1865</Characters>
  <CharactersWithSpaces>2123</CharactersWithSpaces>
  <Paragraphs>21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2020-10-30T10:18:00Z</dcterms:created>
  <dc:creator>SPM</dc:creator>
  <dc:description/>
  <dc:language>ru-RU</dc:language>
  <cp:lastModifiedBy/>
  <dcterms:modified xsi:type="dcterms:W3CDTF">2025-10-03T00:01:31Z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