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2EA3" w:rsidRDefault="004F2EA3" w:rsidP="004F2EA3">
      <w:pPr>
        <w:jc w:val="center"/>
        <w:rPr>
          <w:b/>
          <w:sz w:val="36"/>
          <w:szCs w:val="28"/>
        </w:rPr>
      </w:pPr>
      <w:r>
        <w:rPr>
          <w:b/>
          <w:sz w:val="36"/>
          <w:szCs w:val="28"/>
        </w:rPr>
        <w:t>Методический подход к решению прикладных задач роторной динамики</w:t>
      </w:r>
    </w:p>
    <w:p w:rsidR="004F2EA3" w:rsidRDefault="004F2EA3" w:rsidP="004F2EA3">
      <w:pPr>
        <w:jc w:val="center"/>
        <w:rPr>
          <w:sz w:val="28"/>
          <w:szCs w:val="28"/>
        </w:rPr>
      </w:pPr>
      <w:r>
        <w:rPr>
          <w:sz w:val="28"/>
          <w:szCs w:val="28"/>
        </w:rPr>
        <w:t xml:space="preserve">Манчев Э.И. </w:t>
      </w:r>
      <w:r>
        <w:rPr>
          <w:sz w:val="28"/>
          <w:szCs w:val="28"/>
          <w:vertAlign w:val="superscript"/>
        </w:rPr>
        <w:t>1*</w:t>
      </w:r>
      <w:r>
        <w:rPr>
          <w:sz w:val="28"/>
          <w:szCs w:val="28"/>
        </w:rPr>
        <w:t xml:space="preserve">, Куменко А.И. </w:t>
      </w:r>
      <w:r>
        <w:rPr>
          <w:sz w:val="28"/>
          <w:szCs w:val="28"/>
          <w:vertAlign w:val="superscript"/>
        </w:rPr>
        <w:t>1</w:t>
      </w:r>
      <w:r>
        <w:rPr>
          <w:sz w:val="28"/>
          <w:szCs w:val="28"/>
        </w:rPr>
        <w:t xml:space="preserve"> </w:t>
      </w:r>
    </w:p>
    <w:p w:rsidR="004F2EA3" w:rsidRDefault="004F2EA3" w:rsidP="004F2EA3">
      <w:pPr>
        <w:jc w:val="center"/>
        <w:rPr>
          <w:szCs w:val="28"/>
        </w:rPr>
      </w:pPr>
      <w:r>
        <w:rPr>
          <w:szCs w:val="28"/>
          <w:vertAlign w:val="superscript"/>
        </w:rPr>
        <w:t>1</w:t>
      </w:r>
      <w:r>
        <w:rPr>
          <w:szCs w:val="28"/>
        </w:rPr>
        <w:t>НИУ «МЭИ», Москва, Россия</w:t>
      </w:r>
    </w:p>
    <w:p w:rsidR="004F2EA3" w:rsidRDefault="004F2EA3" w:rsidP="004F2EA3">
      <w:pPr>
        <w:jc w:val="center"/>
        <w:rPr>
          <w:sz w:val="28"/>
          <w:szCs w:val="28"/>
        </w:rPr>
      </w:pPr>
      <w:r>
        <w:t>*</w:t>
      </w:r>
      <w:r>
        <w:rPr>
          <w:lang w:val="en-US"/>
        </w:rPr>
        <w:t>E</w:t>
      </w:r>
      <w:r>
        <w:t>-</w:t>
      </w:r>
      <w:r>
        <w:rPr>
          <w:lang w:val="en-US"/>
        </w:rPr>
        <w:t>mail</w:t>
      </w:r>
      <w:r>
        <w:t xml:space="preserve"> (докладчика): </w:t>
      </w:r>
      <w:r>
        <w:rPr>
          <w:rStyle w:val="rpc41"/>
          <w:szCs w:val="18"/>
        </w:rPr>
        <w:t>ManchevE@mpei.ru</w:t>
      </w:r>
    </w:p>
    <w:p w:rsidR="00FA1E0D" w:rsidRPr="00643C6C" w:rsidRDefault="00FA1E0D" w:rsidP="00FA1E0D">
      <w:pPr>
        <w:jc w:val="both"/>
        <w:rPr>
          <w:i/>
          <w:color w:val="000000"/>
          <w:sz w:val="28"/>
          <w:szCs w:val="28"/>
        </w:rPr>
      </w:pPr>
      <w:r w:rsidRPr="00643C6C">
        <w:rPr>
          <w:i/>
          <w:color w:val="000000"/>
          <w:sz w:val="28"/>
          <w:szCs w:val="28"/>
        </w:rPr>
        <w:t xml:space="preserve"> </w:t>
      </w:r>
    </w:p>
    <w:p w:rsidR="004F2EA3" w:rsidRDefault="004F2EA3" w:rsidP="004F2EA3">
      <w:pPr>
        <w:ind w:firstLine="709"/>
        <w:jc w:val="both"/>
        <w:rPr>
          <w:b/>
          <w:sz w:val="28"/>
          <w:szCs w:val="28"/>
        </w:rPr>
      </w:pPr>
      <w:r>
        <w:rPr>
          <w:b/>
          <w:sz w:val="28"/>
          <w:szCs w:val="28"/>
        </w:rPr>
        <w:t>Аннотация</w:t>
      </w:r>
    </w:p>
    <w:p w:rsidR="004F2EA3" w:rsidRDefault="004F2EA3" w:rsidP="004F2EA3">
      <w:pPr>
        <w:ind w:firstLine="709"/>
        <w:jc w:val="both"/>
        <w:rPr>
          <w:sz w:val="28"/>
          <w:szCs w:val="28"/>
        </w:rPr>
      </w:pPr>
      <w:r>
        <w:rPr>
          <w:sz w:val="28"/>
          <w:szCs w:val="28"/>
        </w:rPr>
        <w:t xml:space="preserve">Рассматриваются основные задачи в расчетах динамики роторов. Описывается применение классических и современных методик, предполагающих поэтапное решение задач гидравлики, гидродинамики и роторной динамики. Выходными параметрами являются коэффициенты жесткости и демпфирования щелевых уплотнений и масляных подшипников. Целью расчетов является вычисление критических частот и построение Диаграммы </w:t>
      </w:r>
      <w:proofErr w:type="spellStart"/>
      <w:r>
        <w:rPr>
          <w:sz w:val="28"/>
          <w:szCs w:val="28"/>
        </w:rPr>
        <w:t>Кэмпбелла</w:t>
      </w:r>
      <w:proofErr w:type="spellEnd"/>
      <w:r>
        <w:rPr>
          <w:sz w:val="28"/>
          <w:szCs w:val="28"/>
        </w:rPr>
        <w:t xml:space="preserve"> с использованием современных программных комплексов.</w:t>
      </w:r>
    </w:p>
    <w:p w:rsidR="00FA1E0D" w:rsidRDefault="004F2EA3" w:rsidP="004F2EA3">
      <w:pPr>
        <w:ind w:firstLine="709"/>
        <w:jc w:val="both"/>
        <w:rPr>
          <w:sz w:val="28"/>
          <w:szCs w:val="28"/>
        </w:rPr>
      </w:pPr>
      <w:r>
        <w:rPr>
          <w:b/>
          <w:i/>
          <w:sz w:val="28"/>
        </w:rPr>
        <w:t>Ключевые слова:</w:t>
      </w:r>
      <w:r>
        <w:rPr>
          <w:i/>
          <w:sz w:val="28"/>
        </w:rPr>
        <w:t xml:space="preserve"> роторная динамика, динамические коэффициенты</w:t>
      </w:r>
    </w:p>
    <w:p w:rsidR="004F2EA3" w:rsidRDefault="004F2EA3" w:rsidP="004F2EA3">
      <w:pPr>
        <w:jc w:val="both"/>
        <w:rPr>
          <w:sz w:val="28"/>
          <w:szCs w:val="28"/>
        </w:rPr>
      </w:pPr>
      <w:r>
        <w:rPr>
          <w:sz w:val="28"/>
          <w:szCs w:val="28"/>
        </w:rPr>
        <w:tab/>
      </w:r>
    </w:p>
    <w:p w:rsidR="004F2EA3" w:rsidRDefault="004F2EA3" w:rsidP="004F2EA3">
      <w:pPr>
        <w:ind w:firstLine="708"/>
        <w:jc w:val="both"/>
        <w:rPr>
          <w:sz w:val="28"/>
          <w:szCs w:val="28"/>
        </w:rPr>
      </w:pPr>
      <w:r>
        <w:rPr>
          <w:sz w:val="28"/>
          <w:szCs w:val="28"/>
        </w:rPr>
        <w:t xml:space="preserve">Основной задачей расчета роторно-подшипниковых систем является определение критических частот, построение форм колебаний и границ устойчивости системы. Для этой цели необходимо выполнить несколько расчетов, </w:t>
      </w:r>
      <w:r w:rsidR="00F732AA">
        <w:rPr>
          <w:sz w:val="28"/>
          <w:szCs w:val="28"/>
        </w:rPr>
        <w:t>включающих решение</w:t>
      </w:r>
      <w:r>
        <w:rPr>
          <w:sz w:val="28"/>
          <w:szCs w:val="28"/>
        </w:rPr>
        <w:t xml:space="preserve"> задач гидравлики, гидродинамики и роторной динамики.</w:t>
      </w:r>
    </w:p>
    <w:p w:rsidR="00F732AA" w:rsidRDefault="004F2EA3" w:rsidP="00F732AA">
      <w:pPr>
        <w:ind w:firstLine="708"/>
        <w:jc w:val="both"/>
        <w:rPr>
          <w:sz w:val="28"/>
          <w:szCs w:val="28"/>
        </w:rPr>
      </w:pPr>
      <w:r>
        <w:rPr>
          <w:sz w:val="28"/>
          <w:szCs w:val="28"/>
        </w:rPr>
        <w:t xml:space="preserve">Задача гидравлики </w:t>
      </w:r>
      <w:r w:rsidR="00F732AA">
        <w:rPr>
          <w:sz w:val="28"/>
          <w:szCs w:val="28"/>
        </w:rPr>
        <w:t>представляет собой</w:t>
      </w:r>
      <w:r>
        <w:rPr>
          <w:sz w:val="28"/>
          <w:szCs w:val="28"/>
        </w:rPr>
        <w:t xml:space="preserve"> полный расчет гидравлического тракта изделия, например, многоступенчатого насоса. С помощью классических формул (проверенных экспериментально для стандартных гидравлических сечений) и современных программных комплексов вычисляются перепады давлений и скорос</w:t>
      </w:r>
      <w:r w:rsidR="00F732AA">
        <w:rPr>
          <w:sz w:val="28"/>
          <w:szCs w:val="28"/>
        </w:rPr>
        <w:t xml:space="preserve">ти потока в каждой из ступеней. Полученные величины используется </w:t>
      </w:r>
      <w:r w:rsidR="00AE60FB">
        <w:rPr>
          <w:sz w:val="28"/>
          <w:szCs w:val="28"/>
        </w:rPr>
        <w:t xml:space="preserve">в </w:t>
      </w:r>
      <w:r w:rsidR="00F732AA">
        <w:rPr>
          <w:sz w:val="28"/>
          <w:szCs w:val="28"/>
        </w:rPr>
        <w:t>формулах для расчета коэффициентов жесткости и демпфирования щелевых уплотнений. Сами же формулы основываются на решении модифицированного уравнения Рейнольдса для турбулентного потока с использованием теории короткого подшипника. Для каждой частоты вращения вычисляются собственные значения перепадов давлений и скоростей потока в уплотнениях. Подобный подход позволяет учесть тот факт, что коэффициенты жесткости и демпфирования, на практике, представляют собой переменные величины</w:t>
      </w:r>
      <w:r w:rsidR="00AE60FB">
        <w:rPr>
          <w:sz w:val="28"/>
          <w:szCs w:val="28"/>
        </w:rPr>
        <w:t>, зависящие от частоты вращения ротора</w:t>
      </w:r>
      <w:r w:rsidR="00F732AA">
        <w:rPr>
          <w:sz w:val="28"/>
          <w:szCs w:val="28"/>
        </w:rPr>
        <w:t>.</w:t>
      </w:r>
    </w:p>
    <w:p w:rsidR="00B6754E" w:rsidRPr="008650B9" w:rsidRDefault="00F732AA" w:rsidP="00B6754E">
      <w:pPr>
        <w:ind w:firstLine="708"/>
        <w:jc w:val="both"/>
        <w:rPr>
          <w:sz w:val="28"/>
          <w:szCs w:val="28"/>
          <w:lang w:val="en-US"/>
        </w:rPr>
      </w:pPr>
      <w:r>
        <w:rPr>
          <w:sz w:val="28"/>
          <w:szCs w:val="28"/>
        </w:rPr>
        <w:t>Для вычисления динамических коэффициентов масляных подшипников решается уравнение Рейнольдса с помощью поверхностной КЭ-сетки</w:t>
      </w:r>
      <w:r w:rsidR="00B6754E">
        <w:rPr>
          <w:sz w:val="28"/>
          <w:szCs w:val="28"/>
        </w:rPr>
        <w:t xml:space="preserve">. Динамическая вязкость масляного слоя выбирается по установившейся </w:t>
      </w:r>
      <w:r w:rsidR="008650B9">
        <w:rPr>
          <w:sz w:val="28"/>
          <w:szCs w:val="28"/>
        </w:rPr>
        <w:t xml:space="preserve">рабочей </w:t>
      </w:r>
      <w:r w:rsidR="00B6754E">
        <w:rPr>
          <w:sz w:val="28"/>
          <w:szCs w:val="28"/>
        </w:rPr>
        <w:t>температуре. Расчет проводится в широком диапазоне частот с неким выбранным шагом.</w:t>
      </w:r>
    </w:p>
    <w:p w:rsidR="00B6754E" w:rsidRDefault="00B6754E" w:rsidP="00B6754E">
      <w:pPr>
        <w:ind w:firstLine="708"/>
        <w:jc w:val="both"/>
        <w:rPr>
          <w:sz w:val="28"/>
          <w:szCs w:val="28"/>
        </w:rPr>
      </w:pPr>
      <w:r>
        <w:rPr>
          <w:sz w:val="28"/>
          <w:szCs w:val="28"/>
        </w:rPr>
        <w:t>Сама роторно-подшипников</w:t>
      </w:r>
      <w:r w:rsidR="00AE60FB">
        <w:rPr>
          <w:sz w:val="28"/>
          <w:szCs w:val="28"/>
        </w:rPr>
        <w:t>ая</w:t>
      </w:r>
      <w:r>
        <w:rPr>
          <w:sz w:val="28"/>
          <w:szCs w:val="28"/>
        </w:rPr>
        <w:t xml:space="preserve"> систем</w:t>
      </w:r>
      <w:r w:rsidR="00AE60FB">
        <w:rPr>
          <w:sz w:val="28"/>
          <w:szCs w:val="28"/>
        </w:rPr>
        <w:t>а</w:t>
      </w:r>
      <w:r>
        <w:rPr>
          <w:sz w:val="28"/>
          <w:szCs w:val="28"/>
        </w:rPr>
        <w:t xml:space="preserve"> моделируется в программном комплексе </w:t>
      </w:r>
      <w:proofErr w:type="spellStart"/>
      <w:r>
        <w:rPr>
          <w:sz w:val="28"/>
          <w:szCs w:val="28"/>
          <w:lang w:val="en-US"/>
        </w:rPr>
        <w:t>Ansys</w:t>
      </w:r>
      <w:proofErr w:type="spellEnd"/>
      <w:r>
        <w:rPr>
          <w:sz w:val="28"/>
          <w:szCs w:val="28"/>
        </w:rPr>
        <w:t xml:space="preserve"> с использованием трехмерной конечно-элементной модели. Масляные подшипники и щелевые уплотнения моделируются с помощью </w:t>
      </w:r>
      <w:r>
        <w:rPr>
          <w:sz w:val="28"/>
          <w:szCs w:val="28"/>
        </w:rPr>
        <w:lastRenderedPageBreak/>
        <w:t xml:space="preserve">функции </w:t>
      </w:r>
      <w:r w:rsidR="008650B9">
        <w:rPr>
          <w:sz w:val="28"/>
          <w:szCs w:val="28"/>
        </w:rPr>
        <w:t>«</w:t>
      </w:r>
      <w:r w:rsidR="008650B9">
        <w:rPr>
          <w:sz w:val="28"/>
          <w:szCs w:val="28"/>
          <w:lang w:val="en-US"/>
        </w:rPr>
        <w:t>B</w:t>
      </w:r>
      <w:r>
        <w:rPr>
          <w:sz w:val="28"/>
          <w:szCs w:val="28"/>
          <w:lang w:val="en-US"/>
        </w:rPr>
        <w:t>earing</w:t>
      </w:r>
      <w:r w:rsidR="008650B9">
        <w:rPr>
          <w:sz w:val="28"/>
          <w:szCs w:val="28"/>
        </w:rPr>
        <w:t>»</w:t>
      </w:r>
      <w:r w:rsidRPr="00B6754E">
        <w:rPr>
          <w:sz w:val="28"/>
          <w:szCs w:val="28"/>
        </w:rPr>
        <w:t xml:space="preserve"> </w:t>
      </w:r>
      <w:r>
        <w:rPr>
          <w:sz w:val="28"/>
          <w:szCs w:val="28"/>
        </w:rPr>
        <w:t>по соответствующим поверхностям с использованием вычисленных ранее динамических коэффициентов, отдельно задаваемых для каждой частоты вращения.</w:t>
      </w:r>
    </w:p>
    <w:p w:rsidR="00B6754E" w:rsidRDefault="00B6754E" w:rsidP="00B6754E">
      <w:pPr>
        <w:ind w:firstLine="708"/>
        <w:jc w:val="both"/>
        <w:rPr>
          <w:sz w:val="28"/>
          <w:szCs w:val="28"/>
        </w:rPr>
      </w:pPr>
      <w:r>
        <w:rPr>
          <w:sz w:val="28"/>
          <w:szCs w:val="28"/>
        </w:rPr>
        <w:t xml:space="preserve">В результате, получается наиболее </w:t>
      </w:r>
      <w:r w:rsidR="00A14460">
        <w:rPr>
          <w:sz w:val="28"/>
          <w:szCs w:val="28"/>
        </w:rPr>
        <w:t xml:space="preserve">точная </w:t>
      </w:r>
      <w:r>
        <w:rPr>
          <w:sz w:val="28"/>
          <w:szCs w:val="28"/>
        </w:rPr>
        <w:t xml:space="preserve">картина распределения критических частот (Диаграмма </w:t>
      </w:r>
      <w:proofErr w:type="spellStart"/>
      <w:r>
        <w:rPr>
          <w:sz w:val="28"/>
          <w:szCs w:val="28"/>
        </w:rPr>
        <w:t>Кэмпбелла</w:t>
      </w:r>
      <w:proofErr w:type="spellEnd"/>
      <w:r>
        <w:rPr>
          <w:sz w:val="28"/>
          <w:szCs w:val="28"/>
        </w:rPr>
        <w:t>). Также становится возможным определение форм колебаний и границ устойчивости системы, например, по логарифмическому декременту.</w:t>
      </w:r>
    </w:p>
    <w:p w:rsidR="004F2EA3" w:rsidRPr="00AE60FB" w:rsidRDefault="00A14460" w:rsidP="00AE60FB">
      <w:pPr>
        <w:ind w:firstLine="708"/>
        <w:jc w:val="both"/>
        <w:rPr>
          <w:sz w:val="28"/>
          <w:szCs w:val="28"/>
        </w:rPr>
      </w:pPr>
      <w:r>
        <w:rPr>
          <w:sz w:val="28"/>
          <w:szCs w:val="28"/>
        </w:rPr>
        <w:t>Полученные результаты</w:t>
      </w:r>
      <w:r w:rsidR="00B6754E">
        <w:rPr>
          <w:sz w:val="28"/>
          <w:szCs w:val="28"/>
        </w:rPr>
        <w:t xml:space="preserve"> </w:t>
      </w:r>
      <w:r>
        <w:rPr>
          <w:sz w:val="28"/>
          <w:szCs w:val="28"/>
        </w:rPr>
        <w:t>имеют</w:t>
      </w:r>
      <w:r w:rsidR="00B6754E">
        <w:rPr>
          <w:sz w:val="28"/>
          <w:szCs w:val="28"/>
        </w:rPr>
        <w:t xml:space="preserve"> большую практическую значимость, так как </w:t>
      </w:r>
      <w:r>
        <w:rPr>
          <w:sz w:val="28"/>
          <w:szCs w:val="28"/>
        </w:rPr>
        <w:t xml:space="preserve">они </w:t>
      </w:r>
      <w:r w:rsidR="00B6754E">
        <w:rPr>
          <w:sz w:val="28"/>
          <w:szCs w:val="28"/>
        </w:rPr>
        <w:t xml:space="preserve">дают предварительную оценку роторно-подшипниковой системы по её отстройке от критической частоты, что является одним из ключевых критериев работоспособности </w:t>
      </w:r>
      <w:r w:rsidR="00AE60FB">
        <w:rPr>
          <w:sz w:val="28"/>
          <w:szCs w:val="28"/>
        </w:rPr>
        <w:t>изделия</w:t>
      </w:r>
      <w:r w:rsidR="00B6754E">
        <w:rPr>
          <w:sz w:val="28"/>
          <w:szCs w:val="28"/>
        </w:rPr>
        <w:t>.</w:t>
      </w:r>
    </w:p>
    <w:p w:rsidR="00356D8B" w:rsidRPr="004F2EA3" w:rsidRDefault="00356D8B" w:rsidP="004F2EA3">
      <w:pPr>
        <w:jc w:val="both"/>
        <w:rPr>
          <w:b/>
          <w:sz w:val="28"/>
          <w:szCs w:val="28"/>
        </w:rPr>
      </w:pPr>
      <w:bookmarkStart w:id="0" w:name="_GoBack"/>
      <w:bookmarkEnd w:id="0"/>
    </w:p>
    <w:p w:rsidR="00AE60FB" w:rsidRDefault="00AE60FB" w:rsidP="00AE60FB">
      <w:pPr>
        <w:ind w:firstLine="709"/>
        <w:jc w:val="both"/>
        <w:rPr>
          <w:b/>
          <w:sz w:val="28"/>
          <w:szCs w:val="28"/>
        </w:rPr>
      </w:pPr>
      <w:r>
        <w:rPr>
          <w:b/>
          <w:sz w:val="28"/>
          <w:szCs w:val="28"/>
        </w:rPr>
        <w:t>Литература</w:t>
      </w:r>
    </w:p>
    <w:p w:rsidR="00AE60FB" w:rsidRDefault="00AE60FB" w:rsidP="00AE60FB">
      <w:pPr>
        <w:ind w:firstLine="708"/>
        <w:jc w:val="both"/>
        <w:rPr>
          <w:sz w:val="28"/>
          <w:szCs w:val="28"/>
        </w:rPr>
      </w:pPr>
      <w:r>
        <w:rPr>
          <w:sz w:val="28"/>
          <w:szCs w:val="28"/>
        </w:rPr>
        <w:t>1.</w:t>
      </w:r>
      <w:r>
        <w:rPr>
          <w:rFonts w:ascii="Arial" w:hAnsi="Arial" w:cs="Arial"/>
          <w:b/>
          <w:bCs/>
          <w:i/>
          <w:iCs/>
          <w:color w:val="474747"/>
          <w:sz w:val="28"/>
          <w:szCs w:val="28"/>
          <w:shd w:val="clear" w:color="auto" w:fill="FFFFFF"/>
        </w:rPr>
        <w:t xml:space="preserve"> </w:t>
      </w:r>
      <w:r>
        <w:rPr>
          <w:rStyle w:val="a4"/>
          <w:bCs/>
          <w:i w:val="0"/>
          <w:iCs w:val="0"/>
          <w:sz w:val="28"/>
          <w:szCs w:val="28"/>
          <w:shd w:val="clear" w:color="auto" w:fill="FFFFFF"/>
        </w:rPr>
        <w:t>Костюк</w:t>
      </w:r>
      <w:r>
        <w:rPr>
          <w:sz w:val="28"/>
          <w:szCs w:val="28"/>
          <w:shd w:val="clear" w:color="auto" w:fill="FFFFFF"/>
        </w:rPr>
        <w:t> А.Г. </w:t>
      </w:r>
      <w:r>
        <w:rPr>
          <w:rStyle w:val="a4"/>
          <w:bCs/>
          <w:i w:val="0"/>
          <w:iCs w:val="0"/>
          <w:sz w:val="28"/>
          <w:szCs w:val="28"/>
          <w:shd w:val="clear" w:color="auto" w:fill="FFFFFF"/>
        </w:rPr>
        <w:t>Динамика и прочность турбомашин</w:t>
      </w:r>
      <w:r>
        <w:rPr>
          <w:sz w:val="28"/>
          <w:szCs w:val="28"/>
          <w:shd w:val="clear" w:color="auto" w:fill="FFFFFF"/>
        </w:rPr>
        <w:t>. М.: Изд-во МЭИ, 2007. 476 с.</w:t>
      </w:r>
    </w:p>
    <w:p w:rsidR="00AE60FB" w:rsidRDefault="00AE60FB" w:rsidP="00AE60FB">
      <w:pPr>
        <w:ind w:firstLine="709"/>
        <w:jc w:val="both"/>
        <w:rPr>
          <w:sz w:val="32"/>
          <w:szCs w:val="28"/>
          <w:lang w:val="en-US"/>
        </w:rPr>
      </w:pPr>
      <w:r>
        <w:rPr>
          <w:sz w:val="28"/>
          <w:szCs w:val="28"/>
          <w:lang w:val="en-US"/>
        </w:rPr>
        <w:t>2.</w:t>
      </w:r>
      <w:r>
        <w:rPr>
          <w:color w:val="222222"/>
          <w:sz w:val="28"/>
          <w:szCs w:val="28"/>
          <w:shd w:val="clear" w:color="auto" w:fill="FFFFFF"/>
          <w:lang w:val="en-US"/>
        </w:rPr>
        <w:t xml:space="preserve"> </w:t>
      </w:r>
      <w:r>
        <w:rPr>
          <w:sz w:val="28"/>
          <w:szCs w:val="28"/>
          <w:shd w:val="clear" w:color="auto" w:fill="FFFFFF"/>
          <w:lang w:val="en-US"/>
        </w:rPr>
        <w:t>Chen W. J., Gunter E. J. Dynamics of rotor-bearing systems //Victoria, Canada: Trafford Publishing. – 2010.</w:t>
      </w:r>
    </w:p>
    <w:p w:rsidR="00AE60FB" w:rsidRDefault="00AE60FB" w:rsidP="00AE60FB">
      <w:pPr>
        <w:ind w:firstLine="709"/>
        <w:jc w:val="both"/>
        <w:rPr>
          <w:sz w:val="28"/>
          <w:szCs w:val="28"/>
          <w:lang w:val="en-US"/>
        </w:rPr>
      </w:pPr>
    </w:p>
    <w:p w:rsidR="00AE60FB" w:rsidRPr="00AE60FB" w:rsidRDefault="00AE60FB" w:rsidP="00AE60FB">
      <w:pPr>
        <w:ind w:firstLine="709"/>
        <w:jc w:val="center"/>
        <w:rPr>
          <w:rStyle w:val="tlid-translation"/>
          <w:lang w:val="en-US"/>
        </w:rPr>
      </w:pPr>
      <w:r>
        <w:rPr>
          <w:rStyle w:val="tlid-translation"/>
          <w:b/>
          <w:sz w:val="36"/>
          <w:szCs w:val="28"/>
          <w:lang w:val="en-US"/>
        </w:rPr>
        <w:t>A methodical approach to solving applied problems of rotor dynamics</w:t>
      </w:r>
    </w:p>
    <w:p w:rsidR="00AE60FB" w:rsidRDefault="00AE60FB" w:rsidP="00AE60FB">
      <w:pPr>
        <w:ind w:firstLine="709"/>
        <w:jc w:val="center"/>
        <w:rPr>
          <w:rStyle w:val="tlid-translation"/>
          <w:sz w:val="28"/>
          <w:szCs w:val="28"/>
          <w:vertAlign w:val="superscript"/>
          <w:lang w:val="en-US"/>
        </w:rPr>
      </w:pPr>
      <w:r>
        <w:rPr>
          <w:rStyle w:val="tlid-translation"/>
          <w:sz w:val="28"/>
          <w:szCs w:val="28"/>
          <w:lang w:val="en-US"/>
        </w:rPr>
        <w:t>Manchev E.I.</w:t>
      </w:r>
      <w:r>
        <w:rPr>
          <w:rStyle w:val="tlid-translation"/>
          <w:sz w:val="28"/>
          <w:szCs w:val="28"/>
          <w:vertAlign w:val="superscript"/>
          <w:lang w:val="en-US"/>
        </w:rPr>
        <w:t>1,*</w:t>
      </w:r>
      <w:r>
        <w:rPr>
          <w:rStyle w:val="tlid-translation"/>
          <w:sz w:val="28"/>
          <w:szCs w:val="28"/>
          <w:lang w:val="en-US"/>
        </w:rPr>
        <w:t xml:space="preserve">, </w:t>
      </w:r>
      <w:proofErr w:type="spellStart"/>
      <w:r>
        <w:rPr>
          <w:rStyle w:val="tlid-translation"/>
          <w:sz w:val="28"/>
          <w:szCs w:val="28"/>
          <w:lang w:val="en-US"/>
        </w:rPr>
        <w:t>Kumenko</w:t>
      </w:r>
      <w:proofErr w:type="spellEnd"/>
      <w:r>
        <w:rPr>
          <w:rStyle w:val="tlid-translation"/>
          <w:sz w:val="28"/>
          <w:szCs w:val="28"/>
          <w:lang w:val="en-US"/>
        </w:rPr>
        <w:t xml:space="preserve"> A.I.</w:t>
      </w:r>
      <w:r>
        <w:rPr>
          <w:rStyle w:val="tlid-translation"/>
          <w:sz w:val="28"/>
          <w:szCs w:val="28"/>
          <w:vertAlign w:val="superscript"/>
          <w:lang w:val="en-US"/>
        </w:rPr>
        <w:t>1</w:t>
      </w:r>
    </w:p>
    <w:p w:rsidR="00AE60FB" w:rsidRPr="00AE60FB" w:rsidRDefault="00AE60FB" w:rsidP="00AE60FB">
      <w:pPr>
        <w:pStyle w:val="a3"/>
        <w:spacing w:before="0" w:beforeAutospacing="0" w:after="0" w:afterAutospacing="0"/>
        <w:jc w:val="center"/>
        <w:rPr>
          <w:lang w:val="en-US"/>
        </w:rPr>
      </w:pPr>
      <w:r>
        <w:rPr>
          <w:vertAlign w:val="superscript"/>
          <w:lang w:val="en-US"/>
        </w:rPr>
        <w:t xml:space="preserve"> 1</w:t>
      </w:r>
      <w:r>
        <w:rPr>
          <w:lang w:val="en-US"/>
        </w:rPr>
        <w:t>Moscow Power Engineering Institute, Moscow, Russia</w:t>
      </w:r>
    </w:p>
    <w:p w:rsidR="00AE60FB" w:rsidRDefault="00AE60FB" w:rsidP="00AE60FB">
      <w:pPr>
        <w:jc w:val="center"/>
        <w:rPr>
          <w:sz w:val="28"/>
          <w:szCs w:val="28"/>
          <w:lang w:val="en-US"/>
        </w:rPr>
      </w:pPr>
      <w:r>
        <w:rPr>
          <w:lang w:val="en-US"/>
        </w:rPr>
        <w:t xml:space="preserve">* E-mail (speaker): </w:t>
      </w:r>
      <w:r>
        <w:rPr>
          <w:rStyle w:val="rpc41"/>
          <w:szCs w:val="18"/>
          <w:lang w:val="en-US"/>
        </w:rPr>
        <w:t>ManchevE@mpei.ru</w:t>
      </w:r>
    </w:p>
    <w:p w:rsidR="00AE60FB" w:rsidRPr="00AE60FB" w:rsidRDefault="00AE60FB" w:rsidP="00AE60FB">
      <w:pPr>
        <w:jc w:val="center"/>
        <w:rPr>
          <w:rStyle w:val="tlid-translation"/>
          <w:lang w:val="en-US"/>
        </w:rPr>
      </w:pPr>
    </w:p>
    <w:p w:rsidR="00AE60FB" w:rsidRDefault="00AE60FB" w:rsidP="00AE60FB">
      <w:pPr>
        <w:ind w:firstLine="709"/>
        <w:jc w:val="both"/>
        <w:rPr>
          <w:rStyle w:val="tlid-translation"/>
          <w:b/>
          <w:sz w:val="28"/>
          <w:szCs w:val="28"/>
          <w:lang w:val="en-US"/>
        </w:rPr>
      </w:pPr>
      <w:r>
        <w:rPr>
          <w:rStyle w:val="tlid-translation"/>
          <w:b/>
          <w:sz w:val="28"/>
          <w:szCs w:val="28"/>
        </w:rPr>
        <w:t>А</w:t>
      </w:r>
      <w:proofErr w:type="spellStart"/>
      <w:r>
        <w:rPr>
          <w:rStyle w:val="tlid-translation"/>
          <w:b/>
          <w:sz w:val="28"/>
          <w:szCs w:val="28"/>
          <w:lang w:val="en-US"/>
        </w:rPr>
        <w:t>nnotation</w:t>
      </w:r>
      <w:proofErr w:type="spellEnd"/>
      <w:r>
        <w:rPr>
          <w:rStyle w:val="tlid-translation"/>
          <w:b/>
          <w:sz w:val="28"/>
          <w:szCs w:val="28"/>
          <w:lang w:val="en-US"/>
        </w:rPr>
        <w:t xml:space="preserve"> </w:t>
      </w:r>
    </w:p>
    <w:p w:rsidR="00AE60FB" w:rsidRPr="00AE60FB" w:rsidRDefault="00AE60FB" w:rsidP="00AE60FB">
      <w:pPr>
        <w:ind w:firstLine="851"/>
        <w:jc w:val="both"/>
        <w:rPr>
          <w:lang w:val="en-US"/>
        </w:rPr>
      </w:pPr>
      <w:r>
        <w:rPr>
          <w:sz w:val="28"/>
          <w:szCs w:val="28"/>
          <w:lang w:val="en-US"/>
        </w:rPr>
        <w:t xml:space="preserve">This article examines the key problems in rotor dynamics calculations. It describes the application of classical and modern methods, which involve a </w:t>
      </w:r>
      <w:proofErr w:type="gramStart"/>
      <w:r>
        <w:rPr>
          <w:sz w:val="28"/>
          <w:szCs w:val="28"/>
          <w:lang w:val="en-US"/>
        </w:rPr>
        <w:t>step-by-step</w:t>
      </w:r>
      <w:proofErr w:type="gramEnd"/>
      <w:r>
        <w:rPr>
          <w:sz w:val="28"/>
          <w:szCs w:val="28"/>
          <w:lang w:val="en-US"/>
        </w:rPr>
        <w:t xml:space="preserve"> solution to problems in hydraulics, hydrodynamics, and rotor dynamics. The output parameters include the stiffness and damping coefficients of seals and oil bearings. The purpose is to calculate critical frequencies and construct the Campbell diagram using modern software.</w:t>
      </w:r>
    </w:p>
    <w:p w:rsidR="00AE60FB" w:rsidRDefault="00AE60FB" w:rsidP="00AE60FB">
      <w:pPr>
        <w:ind w:firstLine="851"/>
        <w:rPr>
          <w:lang w:val="en-US"/>
        </w:rPr>
      </w:pPr>
      <w:r>
        <w:rPr>
          <w:b/>
          <w:i/>
          <w:sz w:val="28"/>
          <w:lang w:val="en-US"/>
        </w:rPr>
        <w:t>Keywords:</w:t>
      </w:r>
      <w:r>
        <w:rPr>
          <w:b/>
          <w:lang w:val="en-US"/>
        </w:rPr>
        <w:t xml:space="preserve"> </w:t>
      </w:r>
      <w:proofErr w:type="spellStart"/>
      <w:r>
        <w:rPr>
          <w:i/>
          <w:sz w:val="28"/>
          <w:lang w:val="en-US"/>
        </w:rPr>
        <w:t>rotordynamics</w:t>
      </w:r>
      <w:proofErr w:type="spellEnd"/>
      <w:r>
        <w:rPr>
          <w:i/>
          <w:sz w:val="28"/>
          <w:lang w:val="en-US"/>
        </w:rPr>
        <w:t>, dynamic coefficients</w:t>
      </w:r>
    </w:p>
    <w:p w:rsidR="00AE60FB" w:rsidRDefault="00AE60FB" w:rsidP="00AE60FB">
      <w:pPr>
        <w:ind w:firstLine="851"/>
        <w:rPr>
          <w:lang w:val="en-US"/>
        </w:rPr>
      </w:pPr>
    </w:p>
    <w:p w:rsidR="00AE60FB" w:rsidRDefault="00AE60FB" w:rsidP="00AE60FB">
      <w:pPr>
        <w:ind w:firstLine="851"/>
        <w:rPr>
          <w:b/>
          <w:lang w:val="en-US"/>
        </w:rPr>
      </w:pPr>
    </w:p>
    <w:p w:rsidR="00AE60FB" w:rsidRPr="00AE60FB" w:rsidRDefault="00AE60FB" w:rsidP="00AE60FB">
      <w:pPr>
        <w:ind w:firstLine="851"/>
        <w:rPr>
          <w:b/>
          <w:sz w:val="28"/>
          <w:szCs w:val="28"/>
          <w:lang w:val="en-US"/>
        </w:rPr>
      </w:pPr>
      <w:r w:rsidRPr="00AE60FB">
        <w:rPr>
          <w:b/>
          <w:sz w:val="28"/>
          <w:szCs w:val="28"/>
          <w:lang w:val="en-US"/>
        </w:rPr>
        <w:t>References</w:t>
      </w:r>
    </w:p>
    <w:p w:rsidR="00AE60FB" w:rsidRPr="00AE60FB" w:rsidRDefault="00AE60FB" w:rsidP="00AE60FB">
      <w:pPr>
        <w:ind w:firstLine="851"/>
        <w:rPr>
          <w:sz w:val="28"/>
          <w:szCs w:val="28"/>
          <w:lang w:val="en-US"/>
        </w:rPr>
      </w:pPr>
      <w:r w:rsidRPr="00AE60FB">
        <w:rPr>
          <w:sz w:val="28"/>
          <w:szCs w:val="28"/>
          <w:lang w:val="en-US"/>
        </w:rPr>
        <w:t xml:space="preserve">1. </w:t>
      </w:r>
      <w:proofErr w:type="spellStart"/>
      <w:r w:rsidRPr="00AE60FB">
        <w:rPr>
          <w:sz w:val="28"/>
          <w:szCs w:val="28"/>
          <w:lang w:val="en-US"/>
        </w:rPr>
        <w:t>Kostyuk</w:t>
      </w:r>
      <w:proofErr w:type="spellEnd"/>
      <w:r w:rsidRPr="00AE60FB">
        <w:rPr>
          <w:sz w:val="28"/>
          <w:szCs w:val="28"/>
          <w:lang w:val="en-US"/>
        </w:rPr>
        <w:t xml:space="preserve"> A.G. Dynamics and Strength of Turbomachines. Moscow: MPEI Publishing House, 2007. </w:t>
      </w:r>
      <w:proofErr w:type="gramStart"/>
      <w:r w:rsidRPr="00AE60FB">
        <w:rPr>
          <w:sz w:val="28"/>
          <w:szCs w:val="28"/>
          <w:lang w:val="en-US"/>
        </w:rPr>
        <w:t>476</w:t>
      </w:r>
      <w:proofErr w:type="gramEnd"/>
      <w:r w:rsidRPr="00AE60FB">
        <w:rPr>
          <w:sz w:val="28"/>
          <w:szCs w:val="28"/>
          <w:lang w:val="en-US"/>
        </w:rPr>
        <w:t xml:space="preserve"> p.</w:t>
      </w:r>
    </w:p>
    <w:p w:rsidR="00E23B21" w:rsidRPr="00AE60FB" w:rsidRDefault="00AE60FB" w:rsidP="00AE60FB">
      <w:pPr>
        <w:ind w:firstLine="709"/>
        <w:jc w:val="both"/>
        <w:rPr>
          <w:sz w:val="28"/>
          <w:szCs w:val="28"/>
          <w:lang w:val="en-US"/>
        </w:rPr>
      </w:pPr>
      <w:r w:rsidRPr="00AE60FB">
        <w:rPr>
          <w:sz w:val="28"/>
          <w:szCs w:val="28"/>
          <w:lang w:val="en-US"/>
        </w:rPr>
        <w:t xml:space="preserve">2. </w:t>
      </w:r>
      <w:r w:rsidRPr="00AE60FB">
        <w:rPr>
          <w:color w:val="222222"/>
          <w:sz w:val="28"/>
          <w:szCs w:val="28"/>
          <w:shd w:val="clear" w:color="auto" w:fill="FFFFFF"/>
          <w:lang w:val="en-US"/>
        </w:rPr>
        <w:t>Chen W. J., Gunter E. J. Dynamics of rotor-bearing systems //Victoria, Canada: Trafford Publishing. – 2010.</w:t>
      </w:r>
    </w:p>
    <w:sectPr w:rsidR="00E23B21" w:rsidRPr="00AE60FB"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characterSpacingControl w:val="doNotCompress"/>
  <w:compat>
    <w:compatSetting w:name="compatibilityMode" w:uri="http://schemas.microsoft.com/office/word" w:val="12"/>
  </w:compat>
  <w:rsids>
    <w:rsidRoot w:val="00FA1E0D"/>
    <w:rsid w:val="00067E6B"/>
    <w:rsid w:val="001C7BF8"/>
    <w:rsid w:val="002116CA"/>
    <w:rsid w:val="00356D8B"/>
    <w:rsid w:val="003D4018"/>
    <w:rsid w:val="00490243"/>
    <w:rsid w:val="004F2EA3"/>
    <w:rsid w:val="008650B9"/>
    <w:rsid w:val="00A14460"/>
    <w:rsid w:val="00AE60FB"/>
    <w:rsid w:val="00B6754E"/>
    <w:rsid w:val="00BD5864"/>
    <w:rsid w:val="00C43CF7"/>
    <w:rsid w:val="00E23B21"/>
    <w:rsid w:val="00F732AA"/>
    <w:rsid w:val="00FA1E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character" w:customStyle="1" w:styleId="rpc41">
    <w:name w:val="_rpc_41"/>
    <w:basedOn w:val="a0"/>
    <w:rsid w:val="004F2EA3"/>
  </w:style>
  <w:style w:type="character" w:styleId="a4">
    <w:name w:val="Emphasis"/>
    <w:basedOn w:val="a0"/>
    <w:uiPriority w:val="20"/>
    <w:qFormat/>
    <w:rsid w:val="00AE60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0008397">
      <w:bodyDiv w:val="1"/>
      <w:marLeft w:val="0"/>
      <w:marRight w:val="0"/>
      <w:marTop w:val="0"/>
      <w:marBottom w:val="0"/>
      <w:divBdr>
        <w:top w:val="none" w:sz="0" w:space="0" w:color="auto"/>
        <w:left w:val="none" w:sz="0" w:space="0" w:color="auto"/>
        <w:bottom w:val="none" w:sz="0" w:space="0" w:color="auto"/>
        <w:right w:val="none" w:sz="0" w:space="0" w:color="auto"/>
      </w:divBdr>
    </w:div>
    <w:div w:id="1097402883">
      <w:bodyDiv w:val="1"/>
      <w:marLeft w:val="0"/>
      <w:marRight w:val="0"/>
      <w:marTop w:val="0"/>
      <w:marBottom w:val="0"/>
      <w:divBdr>
        <w:top w:val="none" w:sz="0" w:space="0" w:color="auto"/>
        <w:left w:val="none" w:sz="0" w:space="0" w:color="auto"/>
        <w:bottom w:val="none" w:sz="0" w:space="0" w:color="auto"/>
        <w:right w:val="none" w:sz="0" w:space="0" w:color="auto"/>
      </w:divBdr>
    </w:div>
    <w:div w:id="1894344912">
      <w:bodyDiv w:val="1"/>
      <w:marLeft w:val="0"/>
      <w:marRight w:val="0"/>
      <w:marTop w:val="0"/>
      <w:marBottom w:val="0"/>
      <w:divBdr>
        <w:top w:val="none" w:sz="0" w:space="0" w:color="auto"/>
        <w:left w:val="none" w:sz="0" w:space="0" w:color="auto"/>
        <w:bottom w:val="none" w:sz="0" w:space="0" w:color="auto"/>
        <w:right w:val="none" w:sz="0" w:space="0" w:color="auto"/>
      </w:divBdr>
    </w:div>
    <w:div w:id="2009822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609</Words>
  <Characters>3474</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4075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Eduard Manchev</cp:lastModifiedBy>
  <cp:revision>9</cp:revision>
  <dcterms:created xsi:type="dcterms:W3CDTF">2020-10-30T10:18:00Z</dcterms:created>
  <dcterms:modified xsi:type="dcterms:W3CDTF">2025-10-28T14:00:00Z</dcterms:modified>
</cp:coreProperties>
</file>