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5"/>
        <w:spacing w:before="240" w:after="360" w:line="360" w:lineRule="auto"/>
        <w:ind w:left="0"/>
        <w:jc w:val="both"/>
        <w:rPr>
          <w:rFonts w:ascii="Times New Roman" w:cs="Times New Roman" w:hAnsi="Times New Roman"/>
          <w:b/>
          <w:sz w:val="24"/>
          <w:szCs w:val="24"/>
        </w:rPr>
      </w:pPr>
      <w:r>
        <w:rPr>
          <w:rFonts w:ascii="Times New Roman" w:cs="Times New Roman" w:hAnsi="Times New Roman"/>
          <w:b/>
          <w:sz w:val="24"/>
          <w:szCs w:val="24"/>
        </w:rPr>
        <w:t>УДК 629.7.05</w:t>
      </w:r>
    </w:p>
    <w:p>
      <w:pPr>
        <w:pStyle w:val="15"/>
        <w:spacing w:before="240" w:after="360" w:line="360" w:lineRule="auto"/>
        <w:ind w:left="0"/>
        <w:jc w:val="both"/>
        <w:rPr>
          <w:rFonts w:ascii="Times New Roman" w:cs="Times New Roman" w:hAnsi="Times New Roman"/>
          <w:b/>
          <w:sz w:val="24"/>
          <w:szCs w:val="24"/>
        </w:rPr>
      </w:pPr>
      <w:r>
        <w:rPr>
          <w:rFonts w:ascii="Times New Roman" w:cs="Times New Roman" w:hAnsi="Times New Roman"/>
          <w:b/>
          <w:sz w:val="24"/>
          <w:szCs w:val="24"/>
        </w:rPr>
        <w:t>Применение метода конечных элементов для определения гидродинамических параметров колебаний жидкости в торовых топливных баках разгонных блоков с радиальными перегородками</w:t>
      </w:r>
    </w:p>
    <w:p/>
    <w:p>
      <w:pPr>
        <w:spacing w:line="360" w:lineRule="auto"/>
        <w:jc w:val="both"/>
        <w:rPr>
          <w:rFonts w:eastAsia="Droid Sans"/>
          <w:sz w:val="24"/>
          <w:szCs w:val="24"/>
          <w:lang w:eastAsia="en-US"/>
        </w:rPr>
      </w:pPr>
      <w:r>
        <w:rPr>
          <w:rFonts w:eastAsia="Droid Sans"/>
          <w:b/>
          <w:sz w:val="24"/>
          <w:szCs w:val="24"/>
          <w:lang w:eastAsia="en-US"/>
        </w:rPr>
        <w:t>Афонина Екатерина Валерьевна</w:t>
      </w:r>
      <w:r>
        <w:rPr>
          <w:b/>
          <w:sz w:val="24"/>
          <w:szCs w:val="24"/>
          <w:vertAlign w:val="superscript"/>
        </w:rPr>
        <w:t>1</w:t>
      </w:r>
      <w:r>
        <w:rPr>
          <w:rFonts w:eastAsia="Droid Sans"/>
          <w:sz w:val="24"/>
          <w:szCs w:val="24"/>
          <w:lang w:eastAsia="en-US"/>
        </w:rPr>
        <w:t xml:space="preserve">   </w:t>
        <w:tab/>
        <w:t xml:space="preserve">  ekaterina.afonina3@rsce.ru</w:t>
      </w:r>
    </w:p>
    <w:p>
      <w:pPr>
        <w:pStyle w:val="15"/>
        <w:spacing w:line="360" w:lineRule="auto"/>
        <w:ind w:left="0"/>
        <w:rPr>
          <w:rFonts w:ascii="Times New Roman" w:cs="Times New Roman" w:hAnsi="Times New Roman"/>
          <w:i/>
          <w:sz w:val="24"/>
          <w:szCs w:val="24"/>
        </w:rPr>
      </w:pPr>
      <w:r>
        <w:rPr>
          <w:rFonts w:ascii="Times New Roman" w:cs="Times New Roman" w:hAnsi="Times New Roman"/>
          <w:i/>
          <w:sz w:val="24"/>
          <w:szCs w:val="24"/>
          <w:vertAlign w:val="superscript"/>
        </w:rPr>
        <w:t xml:space="preserve">1 </w:t>
      </w:r>
      <w:r>
        <w:rPr>
          <w:rFonts w:ascii="Times New Roman" w:cs="Times New Roman" w:hAnsi="Times New Roman"/>
          <w:i/>
          <w:sz w:val="24"/>
          <w:szCs w:val="24"/>
        </w:rPr>
        <w:t>ПАО «РКК «Энергия» имени С. П. Королёва», г. Королёв, МО</w:t>
      </w:r>
    </w:p>
    <w:p/>
    <w:p>
      <w:pPr>
        <w:spacing w:line="360" w:lineRule="auto"/>
        <w:jc w:val="both"/>
        <w:rPr>
          <w:rFonts w:eastAsia="Droid Sans"/>
          <w:sz w:val="24"/>
          <w:szCs w:val="24"/>
          <w:lang w:eastAsia="en-US"/>
        </w:rPr>
      </w:pPr>
      <w:r>
        <w:rPr>
          <w:rFonts w:eastAsia="Droid Sans"/>
          <w:b/>
          <w:sz w:val="24"/>
          <w:szCs w:val="24"/>
          <w:lang w:eastAsia="en-US"/>
        </w:rPr>
        <w:t>Аннотация.</w:t>
      </w:r>
      <w:r>
        <w:rPr>
          <w:rFonts w:eastAsia="Droid Sans"/>
          <w:sz w:val="24"/>
          <w:szCs w:val="24"/>
          <w:lang w:eastAsia="en-US"/>
        </w:rPr>
        <w:t xml:space="preserve"> Описание возмущенного движения современных ракет-носителей (РН) и разгонных блоков (РБ) невозможно без учёта подвижности жидкого наполнения их топливных баков, так как масса жидкого топлива может достигать 90% от всей массы объекта управления. Колебания жидких компонентов топлива, возникающие вследствие резонанса колебаний исполнительных органов системы управления и собственных частот жидкостей, оказывают существенное влияние на динамические характеристики РН и РБ, особенно при движении на активных участках полета. </w:t>
      </w:r>
    </w:p>
    <w:p>
      <w:pPr>
        <w:pStyle w:val="15"/>
        <w:spacing w:before="240" w:after="240" w:line="360" w:lineRule="auto"/>
        <w:ind w:left="0" w:firstLine="851"/>
        <w:contextualSpacing w:val="0"/>
        <w:jc w:val="both"/>
        <w:rPr>
          <w:rFonts w:ascii="Times New Roman" w:cs="Times New Roman" w:hAnsi="Times New Roman"/>
          <w:sz w:val="24"/>
          <w:szCs w:val="24"/>
        </w:rPr>
      </w:pPr>
      <w:r>
        <w:rPr>
          <w:rFonts w:ascii="Times New Roman" w:cs="Times New Roman" w:hAnsi="Times New Roman"/>
          <w:sz w:val="24"/>
          <w:szCs w:val="24"/>
        </w:rPr>
        <w:t>При исследовании влияния колебаний жидкого наполнения топливных баков на движение РН и РБ необходимо знать гидродинамические параметры уравнений возмущенного движения, получаемые при решении краевой задачи на собственные значения. Однако аналитическое решение существует только для узкого круга задач, поэтому для решения краевых задач целесообразно применение численных методов. В свою очередь основные программные пакеты не решают краевой задачи на собственные колебания жидкости в полости, в связи с чем проблема является актуальной.</w:t>
      </w:r>
    </w:p>
    <w:p>
      <w:pPr>
        <w:pStyle w:val="15"/>
        <w:spacing w:before="240" w:after="240" w:line="360" w:lineRule="auto"/>
        <w:ind w:left="0" w:firstLine="851"/>
        <w:contextualSpacing w:val="0"/>
        <w:jc w:val="both"/>
        <w:rPr>
          <w:rFonts w:ascii="Times New Roman" w:cs="Times New Roman" w:hAnsi="Times New Roman"/>
          <w:sz w:val="24"/>
          <w:szCs w:val="24"/>
        </w:rPr>
      </w:pPr>
      <w:r>
        <w:rPr>
          <w:rFonts w:ascii="Times New Roman" w:cs="Times New Roman" w:hAnsi="Times New Roman"/>
          <w:sz w:val="24"/>
          <w:szCs w:val="24"/>
        </w:rPr>
        <w:t xml:space="preserve">В данной работе методом конечных элементов (МКЭ) решается краевая задача на собственные значения для цилиндрического бака со сферическим днищем. Полученные  МКЭ собственные частоты колебаний жидкости используются для расчета гидродинамических параметров, входящих в уравнения возмущенного движения РБ. </w:t>
      </w:r>
    </w:p>
    <w:p>
      <w:pPr>
        <w:pStyle w:val="15"/>
        <w:spacing w:before="240" w:after="240" w:line="360" w:lineRule="auto"/>
        <w:ind w:left="0"/>
        <w:contextualSpacing w:val="0"/>
        <w:jc w:val="both"/>
        <w:rPr>
          <w:rFonts w:ascii="Times New Roman" w:cs="Times New Roman" w:hAnsi="Times New Roman"/>
          <w:sz w:val="24"/>
          <w:szCs w:val="24"/>
        </w:rPr>
      </w:pPr>
      <w:r>
        <w:rPr>
          <w:rFonts w:ascii="Times New Roman" w:cs="Times New Roman" w:hAnsi="Times New Roman"/>
          <w:b/>
          <w:sz w:val="24"/>
          <w:szCs w:val="24"/>
        </w:rPr>
        <w:t>Ключевые слова:</w:t>
      </w:r>
      <w:r>
        <w:rPr>
          <w:rFonts w:ascii="Times New Roman" w:cs="Times New Roman" w:hAnsi="Times New Roman"/>
          <w:sz w:val="24"/>
          <w:szCs w:val="24"/>
        </w:rPr>
        <w:t xml:space="preserve"> разгонный блок, краевая задача, собственная частота колебаний, гидродинамические параметры, метод конечных элементов.</w:t>
      </w:r>
    </w:p>
    <w:p>
      <w:pPr>
        <w:pStyle w:val="15"/>
        <w:spacing w:before="240" w:after="240" w:line="360" w:lineRule="auto"/>
        <w:ind w:left="0"/>
        <w:contextualSpacing w:val="0"/>
        <w:jc w:val="both"/>
        <w:rPr>
          <w:rFonts w:ascii="Times New Roman" w:cs="Times New Roman" w:hAnsi="Times New Roman"/>
          <w:sz w:val="24"/>
          <w:szCs w:val="24"/>
        </w:rPr>
      </w:pPr>
    </w:p>
    <w:p>
      <w:pPr>
        <w:pStyle w:val="15"/>
        <w:spacing w:before="240" w:after="240" w:line="360" w:lineRule="auto"/>
        <w:ind w:left="0"/>
        <w:contextualSpacing w:val="0"/>
        <w:jc w:val="both"/>
        <w:rPr>
          <w:rFonts w:ascii="Times New Roman" w:cs="Times New Roman" w:hAnsi="Times New Roman"/>
          <w:b/>
          <w:bCs/>
          <w:sz w:val="24"/>
          <w:szCs w:val="24"/>
        </w:rPr>
      </w:pPr>
      <w:r>
        <w:rPr>
          <w:rFonts w:ascii="Times New Roman" w:cs="Times New Roman" w:hAnsi="Times New Roman"/>
          <w:b/>
          <w:bCs/>
          <w:sz w:val="24"/>
          <w:szCs w:val="24"/>
        </w:rPr>
        <w:t>Application of the finite element method to determine the hydrodynamic parameters of fluid oscillations in torus fuel tanks of booster blocks with radial partitions</w:t>
      </w:r>
    </w:p>
    <w:p>
      <w:pPr>
        <w:spacing w:line="360" w:lineRule="auto"/>
        <w:jc w:val="both"/>
        <w:rPr>
          <w:rFonts w:eastAsia="Droid Sans"/>
          <w:sz w:val="24"/>
          <w:szCs w:val="24"/>
          <w:lang w:val="en-US" w:eastAsia="en-US"/>
        </w:rPr>
      </w:pPr>
      <w:r>
        <w:rPr>
          <w:rFonts w:eastAsia="Droid Sans"/>
          <w:b/>
          <w:sz w:val="24"/>
          <w:szCs w:val="24"/>
          <w:lang w:val="en-US" w:eastAsia="en-US"/>
        </w:rPr>
        <w:t>Afonina Ekaterina Valerievna</w:t>
      </w:r>
      <w:r>
        <w:rPr>
          <w:b/>
          <w:sz w:val="24"/>
          <w:szCs w:val="24"/>
          <w:vertAlign w:val="superscript"/>
          <w:lang w:val="en-US"/>
        </w:rPr>
        <w:t>1</w:t>
      </w:r>
      <w:r>
        <w:rPr>
          <w:rFonts w:eastAsia="Droid Sans"/>
          <w:sz w:val="24"/>
          <w:szCs w:val="24"/>
          <w:lang w:val="en-US" w:eastAsia="en-US"/>
        </w:rPr>
        <w:t xml:space="preserve">   </w:t>
        <w:tab/>
        <w:t xml:space="preserve">  ekaterina.afonina3@rsce.ru</w:t>
      </w:r>
    </w:p>
    <w:p>
      <w:pPr>
        <w:pStyle w:val="15"/>
        <w:spacing w:line="360" w:lineRule="auto"/>
        <w:ind w:left="0"/>
        <w:rPr>
          <w:rFonts w:ascii="Times New Roman" w:cs="Times New Roman" w:hAnsi="Times New Roman"/>
          <w:i/>
          <w:sz w:val="24"/>
          <w:szCs w:val="24"/>
          <w:lang w:val="en-US"/>
        </w:rPr>
      </w:pPr>
      <w:r>
        <w:rPr>
          <w:rFonts w:ascii="Times New Roman" w:cs="Times New Roman" w:hAnsi="Times New Roman"/>
          <w:i/>
          <w:sz w:val="24"/>
          <w:szCs w:val="24"/>
          <w:vertAlign w:val="superscript"/>
          <w:lang w:val="en-US"/>
        </w:rPr>
        <w:t xml:space="preserve">1 </w:t>
      </w:r>
      <w:r>
        <w:rPr>
          <w:rFonts w:ascii="Times New Roman" w:cs="Times New Roman" w:hAnsi="Times New Roman"/>
          <w:i/>
          <w:sz w:val="24"/>
          <w:szCs w:val="24"/>
          <w:lang w:val="en-US"/>
        </w:rPr>
        <w:t>S.P.Korolev Rocket and Space Corporation Energia, Korolev, Moscow region</w:t>
      </w:r>
    </w:p>
    <w:p>
      <w:pPr>
        <w:pStyle w:val="15"/>
        <w:spacing w:before="240" w:after="240" w:line="360" w:lineRule="auto"/>
        <w:ind w:left="0"/>
        <w:contextualSpacing w:val="0"/>
        <w:jc w:val="both"/>
        <w:rPr>
          <w:rFonts w:ascii="Times New Roman" w:cs="Times New Roman" w:hAnsi="Times New Roman"/>
          <w:b/>
          <w:sz w:val="24"/>
          <w:szCs w:val="24"/>
          <w:lang w:val="en-US"/>
        </w:rPr>
      </w:pPr>
      <w:r>
        <w:rPr>
          <w:rFonts w:ascii="Times New Roman" w:cs="Times New Roman" w:hAnsi="Times New Roman"/>
          <w:b/>
          <w:sz w:val="24"/>
          <w:szCs w:val="24"/>
          <w:lang w:val="en-US"/>
        </w:rPr>
        <w:t>Abstract.</w:t>
      </w:r>
    </w:p>
    <w:p>
      <w:pPr>
        <w:pStyle w:val="15"/>
        <w:spacing w:before="240" w:after="240" w:line="360" w:lineRule="auto"/>
        <w:ind w:left="0"/>
        <w:contextualSpacing w:val="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The description of the disturbed motion of modern launch vehicles and upper stages is impossible without taking into account the mobility of the liquid filling of their fuel tanks, as the mass of the liquid fuel can reach 90% of the total mass of the control object. The oscillations of the liquid fuel have a significant impact on the dynamic characteristics of the LV and US, especially during active flight stages. </w:t>
      </w:r>
    </w:p>
    <w:p>
      <w:pPr>
        <w:pStyle w:val="15"/>
        <w:spacing w:before="240" w:after="240" w:line="360" w:lineRule="auto"/>
        <w:ind w:left="0"/>
        <w:contextualSpacing w:val="0"/>
        <w:jc w:val="both"/>
        <w:rPr>
          <w:rFonts w:ascii="Times New Roman" w:cs="Times New Roman" w:hAnsi="Times New Roman"/>
          <w:sz w:val="24"/>
          <w:szCs w:val="24"/>
          <w:lang w:val="en-US"/>
        </w:rPr>
      </w:pPr>
      <w:r>
        <w:rPr>
          <w:rFonts w:ascii="Times New Roman" w:cs="Times New Roman" w:hAnsi="Times New Roman"/>
          <w:sz w:val="24"/>
          <w:szCs w:val="24"/>
          <w:lang w:val="en-US"/>
        </w:rPr>
        <w:t>It is necessary to know the hydrodynamic parameters of the equations of perturbed motion to study the effect of fluctuations in the liquid filling of fuel tanks on the motion of the launch vehicle and upper stages. However, an analytical solution exists only for a narrow range of problems, so it is advisable to use numerical methods to solve the boundary value problem. In turn, the main software packages do not solve the boundary value problem for the natural oscillations of a liquid in a cavity, which makes the problem relevant.</w:t>
      </w:r>
    </w:p>
    <w:p>
      <w:pPr>
        <w:pStyle w:val="15"/>
        <w:spacing w:before="240" w:after="240" w:line="360" w:lineRule="auto"/>
        <w:ind w:left="0"/>
        <w:contextualSpacing w:val="0"/>
        <w:jc w:val="both"/>
        <w:rPr>
          <w:rFonts w:ascii="Times New Roman" w:cs="Times New Roman" w:hAnsi="Times New Roman"/>
          <w:sz w:val="24"/>
          <w:szCs w:val="24"/>
          <w:lang w:val="en-US"/>
        </w:rPr>
      </w:pPr>
      <w:r>
        <w:rPr>
          <w:rFonts w:ascii="Times New Roman" w:cs="Times New Roman" w:hAnsi="Times New Roman"/>
          <w:sz w:val="24"/>
          <w:szCs w:val="24"/>
          <w:lang w:val="en-US"/>
        </w:rPr>
        <w:t>In this work, the boundary eigenvalue problem for a cylindrical tank with a spherical bottom is solved using the finite element method (FEM). The FEM-derived natural frequencies of fluid oscillations are used to calculate the hydrodynamic parameters that enter the equations of the perturbed motion of the upper stage.</w:t>
      </w:r>
    </w:p>
    <w:p>
      <w:pPr>
        <w:pStyle w:val="15"/>
        <w:spacing w:before="240" w:after="240" w:line="360" w:lineRule="auto"/>
        <w:ind w:left="0"/>
        <w:contextualSpacing w:val="0"/>
        <w:jc w:val="both"/>
        <w:rPr>
          <w:rFonts w:ascii="Times New Roman" w:cs="Times New Roman" w:hAnsi="Times New Roman"/>
          <w:sz w:val="24"/>
          <w:szCs w:val="24"/>
          <w:lang w:val="en-US"/>
        </w:rPr>
      </w:pPr>
      <w:r>
        <w:rPr>
          <w:rFonts w:ascii="Times New Roman" w:cs="Times New Roman" w:hAnsi="Times New Roman"/>
          <w:b/>
          <w:sz w:val="24"/>
          <w:szCs w:val="24"/>
          <w:lang w:val="en-US"/>
        </w:rPr>
        <w:t xml:space="preserve">Keywords: </w:t>
      </w:r>
      <w:r>
        <w:rPr>
          <w:rFonts w:ascii="Times New Roman" w:cs="Times New Roman" w:hAnsi="Times New Roman"/>
          <w:sz w:val="24"/>
          <w:szCs w:val="24"/>
          <w:lang w:val="en-US"/>
        </w:rPr>
        <w:t>upper stages, boundary value problem, natural frequency of oscillation, hydrodynamic parameters, finite element method.</w:t>
      </w:r>
      <w:bookmarkStart w:id="0" w:name="_GoBack"/>
      <w:bookmarkEnd w:id="0"/>
    </w:p>
    <w:sectPr>
      <w:pgSz w:w="11906" w:h="16838"/>
      <w:pgMar w:top="851" w:right="567" w:bottom="851" w:left="1418" w:header="709" w:footer="709"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CC"/>
    <w:family w:val="roman"/>
    <w:pitch w:val="variable"/>
    <w:sig w:usb0="E0002AFF" w:usb1="C0007841" w:usb2="00000009" w:usb3="00000000" w:csb0="000001FF" w:csb1="00000000"/>
  </w:font>
  <w:font w:name="Droid Sans">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CC"/>
    <w:family w:val="swiss"/>
    <w:pitch w:val="variable"/>
    <w:sig w:usb0="E00002FF" w:usb1="4000ACFF" w:usb2="00000001" w:usb3="00000000" w:csb0="0000019F" w:csb1="00000000"/>
  </w:font>
  <w:font w:name="Luxi Sans">
    <w:altName w:val="Droid Sans"/>
    <w:panose1 w:val="00000000000000000000"/>
    <w:charset w:val="00"/>
    <w:family w:val="auto"/>
    <w:pitch w:val="variable"/>
    <w:sig w:usb0="00000000" w:usb1="00000000" w:usb2="00000000" w:usb3="00000000" w:csb0="00000000" w:csb1="00000000"/>
  </w:font>
  <w:font w:name="HONOR black body">
    <w:altName w:val="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17"/>
  <w:bordersDoNotSurroundHeader/>
  <w:bordersDoNotSurroundFooter/>
  <w:defaultTabStop w:val="708"/>
  <w:drawingGridHorizontalSpacing w:val="120"/>
  <w:drawingGridVerticalSpacing w:val="156"/>
  <w:displayHorizontalDrawingGridEvery w:val="2"/>
  <w:displayVerticalDrawingGridEvery w:val="2"/>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Times New Roman" w:eastAsia="Calibri" w:cs="Times New Roman" w:hAnsi="Times New Roman"/>
      <w:sz w:val="20"/>
      <w:lang w:val="ru-RU" w:eastAsia="ru-RU"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HONOR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customStyle="1" w:styleId="15">
    <w:name w:val="List Paragraph"/>
    <w:basedOn w:val="0"/>
    <w:pPr>
      <w:spacing w:after="200" w:line="276" w:lineRule="auto"/>
      <w:ind w:left="720"/>
      <w:contextualSpacing/>
    </w:pPr>
    <w:rPr>
      <w:rFonts w:ascii="Droid Sans" w:eastAsia="Droid Sans" w:cs="Arial"/>
      <w:sz w:val="22"/>
      <w:szCs w:val="22"/>
      <w:lang w:eastAsia="en-US"/>
    </w:rPr>
  </w:style>
  <w:style w:type="paragraph" w:customStyle="1" w:styleId="16">
    <w:name w:val="УБС Автор"/>
    <w:basedOn w:val="0"/>
    <w:next w:val="0"/>
    <w:pPr>
      <w:spacing w:line="240" w:lineRule="atLeast"/>
      <w:jc w:val="center"/>
    </w:pPr>
    <w:rPr>
      <w:rFonts w:eastAsia="Times New Roman"/>
      <w:b/>
      <w:sz w:val="24"/>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Honor_Office</Application>
  <Pages>2</Pages>
  <Words>485</Words>
  <Characters>3030</Characters>
  <Lines>54</Lines>
  <Paragraphs>16</Paragraphs>
  <CharactersWithSpaces>3513</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2025-10-13T11:36:18Z</dcterms:modified>
</cp:coreProperties>
</file>