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83D457" w14:textId="77777777" w:rsidR="006B2132" w:rsidRPr="006B2132" w:rsidRDefault="006B2132" w:rsidP="006B2132">
      <w:pPr>
        <w:spacing w:after="210" w:line="360" w:lineRule="auto"/>
        <w:rPr>
          <w:rFonts w:ascii="inter" w:eastAsia="inter" w:hAnsi="inter" w:cs="inter"/>
          <w:color w:val="000000"/>
          <w:lang w:val="ru-RU"/>
        </w:rPr>
      </w:pPr>
      <w:proofErr w:type="spellStart"/>
      <w:r w:rsidRPr="006B2132">
        <w:rPr>
          <w:rFonts w:ascii="inter" w:eastAsia="inter" w:hAnsi="inter" w:cs="inter"/>
          <w:color w:val="000000"/>
          <w:lang w:val="ru-RU"/>
        </w:rPr>
        <w:t>Кафтайкин</w:t>
      </w:r>
      <w:proofErr w:type="spellEnd"/>
      <w:r w:rsidRPr="006B2132">
        <w:rPr>
          <w:rFonts w:ascii="inter" w:eastAsia="inter" w:hAnsi="inter" w:cs="inter"/>
          <w:color w:val="000000"/>
          <w:lang w:val="ru-RU"/>
        </w:rPr>
        <w:t xml:space="preserve"> М.В., Шевель А.В., Филатов В.В.</w:t>
      </w:r>
    </w:p>
    <w:p w14:paraId="0075F755" w14:textId="77777777" w:rsidR="006B2132" w:rsidRPr="006B2132" w:rsidRDefault="006B2132" w:rsidP="006B2132">
      <w:pPr>
        <w:spacing w:after="210" w:line="360" w:lineRule="auto"/>
        <w:rPr>
          <w:rFonts w:ascii="inter" w:eastAsia="inter" w:hAnsi="inter" w:cs="inter"/>
          <w:color w:val="000000"/>
          <w:lang w:val="ru-RU"/>
        </w:rPr>
      </w:pPr>
      <w:r w:rsidRPr="006B2132">
        <w:rPr>
          <w:rFonts w:ascii="inter" w:eastAsia="inter" w:hAnsi="inter" w:cs="inter"/>
          <w:color w:val="000000"/>
          <w:lang w:val="ru-RU"/>
        </w:rPr>
        <w:t>МОДЕЛИРОВАНИЕ ПОЛЯРИТОННОГО СПЕКТРА ЛАЗЕРНОГО РУБИНА С УЧЁТОМ ВАЖНЕЙШИХ ОПТИЧЕСКИХ РЕЗОНАНСОВ</w:t>
      </w:r>
    </w:p>
    <w:p w14:paraId="78A70012" w14:textId="77777777" w:rsidR="006B2132" w:rsidRPr="006B2132" w:rsidRDefault="006B2132" w:rsidP="006B2132">
      <w:pPr>
        <w:spacing w:after="210" w:line="360" w:lineRule="auto"/>
        <w:rPr>
          <w:rFonts w:ascii="inter" w:eastAsia="inter" w:hAnsi="inter" w:cs="inter"/>
          <w:color w:val="000000"/>
          <w:lang w:val="ru-RU"/>
        </w:rPr>
      </w:pPr>
      <w:r w:rsidRPr="006B2132">
        <w:rPr>
          <w:rFonts w:ascii="inter" w:eastAsia="inter" w:hAnsi="inter" w:cs="inter"/>
          <w:color w:val="000000"/>
          <w:lang w:val="ru-RU"/>
        </w:rPr>
        <w:t xml:space="preserve">В работе предлагается простой феноменологический подход для моделирования </w:t>
      </w:r>
      <w:proofErr w:type="spellStart"/>
      <w:r w:rsidRPr="006B2132">
        <w:rPr>
          <w:rFonts w:ascii="inter" w:eastAsia="inter" w:hAnsi="inter" w:cs="inter"/>
          <w:color w:val="000000"/>
          <w:lang w:val="ru-RU"/>
        </w:rPr>
        <w:t>поляритонного</w:t>
      </w:r>
      <w:proofErr w:type="spellEnd"/>
      <w:r w:rsidRPr="006B2132">
        <w:rPr>
          <w:rFonts w:ascii="inter" w:eastAsia="inter" w:hAnsi="inter" w:cs="inter"/>
          <w:color w:val="000000"/>
          <w:lang w:val="ru-RU"/>
        </w:rPr>
        <w:t xml:space="preserve"> спектра ω = ω(k) лазерного материала, основанный на разложении диэлектрической функции ε(ω) по </w:t>
      </w:r>
      <w:proofErr w:type="spellStart"/>
      <w:r w:rsidRPr="006B2132">
        <w:rPr>
          <w:rFonts w:ascii="inter" w:eastAsia="inter" w:hAnsi="inter" w:cs="inter"/>
          <w:color w:val="000000"/>
          <w:lang w:val="ru-RU"/>
        </w:rPr>
        <w:t>лоренцевым</w:t>
      </w:r>
      <w:proofErr w:type="spellEnd"/>
      <w:r w:rsidRPr="006B2132">
        <w:rPr>
          <w:rFonts w:ascii="inter" w:eastAsia="inter" w:hAnsi="inter" w:cs="inter"/>
          <w:color w:val="000000"/>
          <w:lang w:val="ru-RU"/>
        </w:rPr>
        <w:t xml:space="preserve"> (электронным) осцилляторам. Получен </w:t>
      </w:r>
      <w:proofErr w:type="spellStart"/>
      <w:r w:rsidRPr="006B2132">
        <w:rPr>
          <w:rFonts w:ascii="inter" w:eastAsia="inter" w:hAnsi="inter" w:cs="inter"/>
          <w:color w:val="000000"/>
          <w:lang w:val="ru-RU"/>
        </w:rPr>
        <w:t>поляритонный</w:t>
      </w:r>
      <w:proofErr w:type="spellEnd"/>
      <w:r w:rsidRPr="006B2132">
        <w:rPr>
          <w:rFonts w:ascii="inter" w:eastAsia="inter" w:hAnsi="inter" w:cs="inter"/>
          <w:color w:val="000000"/>
          <w:lang w:val="ru-RU"/>
        </w:rPr>
        <w:t xml:space="preserve"> спектр лазерного рубина (</w:t>
      </w:r>
      <w:proofErr w:type="spellStart"/>
      <w:r w:rsidRPr="006B2132">
        <w:rPr>
          <w:rFonts w:ascii="inter" w:eastAsia="inter" w:hAnsi="inter" w:cs="inter"/>
          <w:color w:val="000000"/>
          <w:lang w:val="ru-RU"/>
        </w:rPr>
        <w:t>Al₂O</w:t>
      </w:r>
      <w:proofErr w:type="spellEnd"/>
      <w:r w:rsidRPr="006B2132">
        <w:rPr>
          <w:rFonts w:ascii="inter" w:eastAsia="inter" w:hAnsi="inter" w:cs="inter"/>
          <w:color w:val="000000"/>
          <w:lang w:val="ru-RU"/>
        </w:rPr>
        <w:t>₃:Cr³⁺) с учётом его важнейших оптических резонансов: 1) "лазерного" спектрального дублета {R₁,R₂}, соответствующего двухкомпонентному метастабильному электронному уровню ²E = {Ē, 2Ā} , 2) полосы накачки U (электронная полоса ⁴F₂), 3) холостой линии B (</w:t>
      </w:r>
      <w:proofErr w:type="spellStart"/>
      <w:r w:rsidRPr="006B2132">
        <w:rPr>
          <w:rFonts w:ascii="inter" w:eastAsia="inter" w:hAnsi="inter" w:cs="inter"/>
          <w:color w:val="000000"/>
          <w:lang w:val="ru-RU"/>
        </w:rPr>
        <w:t>безызлучательный</w:t>
      </w:r>
      <w:proofErr w:type="spellEnd"/>
      <w:r w:rsidRPr="006B2132">
        <w:rPr>
          <w:rFonts w:ascii="inter" w:eastAsia="inter" w:hAnsi="inter" w:cs="inter"/>
          <w:color w:val="000000"/>
          <w:lang w:val="ru-RU"/>
        </w:rPr>
        <w:t xml:space="preserve"> электронный уровень ²F₂ ) и 4) полосы накачки Y (электронная полоса ⁴F₁). Проведена спектроскопия образца (рубиновой таблетки, вырезанной из стержня рубинового лазера) и установлено хорошее согласие теории с экспериментом. Предсказывается возможность бозе-эйнштейновской конденсации R-</w:t>
      </w:r>
      <w:proofErr w:type="spellStart"/>
      <w:r w:rsidRPr="006B2132">
        <w:rPr>
          <w:rFonts w:ascii="inter" w:eastAsia="inter" w:hAnsi="inter" w:cs="inter"/>
          <w:color w:val="000000"/>
          <w:lang w:val="ru-RU"/>
        </w:rPr>
        <w:t>поляртонов</w:t>
      </w:r>
      <w:proofErr w:type="spellEnd"/>
      <w:r w:rsidRPr="006B2132">
        <w:rPr>
          <w:rFonts w:ascii="inter" w:eastAsia="inter" w:hAnsi="inter" w:cs="inter"/>
          <w:color w:val="000000"/>
          <w:lang w:val="ru-RU"/>
        </w:rPr>
        <w:t xml:space="preserve"> при охлаждении рубина до низких температур.</w:t>
      </w:r>
    </w:p>
    <w:p w14:paraId="39BAB12B" w14:textId="77777777" w:rsidR="006B2132" w:rsidRPr="006B2132" w:rsidRDefault="006B2132" w:rsidP="006B2132">
      <w:pPr>
        <w:spacing w:after="210" w:line="360" w:lineRule="auto"/>
        <w:rPr>
          <w:rFonts w:ascii="inter" w:eastAsia="inter" w:hAnsi="inter" w:cs="inter"/>
          <w:color w:val="000000"/>
          <w:lang w:val="ru-RU"/>
        </w:rPr>
      </w:pPr>
    </w:p>
    <w:p w14:paraId="3CE479B7" w14:textId="4A2B9790" w:rsidR="006B2132" w:rsidRDefault="006B2132" w:rsidP="006B2132">
      <w:pPr>
        <w:spacing w:after="210" w:line="360" w:lineRule="auto"/>
        <w:rPr>
          <w:rFonts w:ascii="inter" w:eastAsia="inter" w:hAnsi="inter" w:cs="inter"/>
          <w:color w:val="000000"/>
          <w:lang w:val="ru-RU"/>
        </w:rPr>
      </w:pPr>
      <w:r w:rsidRPr="006B2132">
        <w:rPr>
          <w:rFonts w:ascii="inter" w:eastAsia="inter" w:hAnsi="inter" w:cs="inter"/>
          <w:color w:val="000000"/>
          <w:lang w:val="ru-RU"/>
        </w:rPr>
        <w:t xml:space="preserve">Ключевые слова: </w:t>
      </w:r>
      <w:proofErr w:type="spellStart"/>
      <w:r w:rsidRPr="006B2132">
        <w:rPr>
          <w:rFonts w:ascii="inter" w:eastAsia="inter" w:hAnsi="inter" w:cs="inter"/>
          <w:color w:val="000000"/>
          <w:lang w:val="ru-RU"/>
        </w:rPr>
        <w:t>поляритонный</w:t>
      </w:r>
      <w:proofErr w:type="spellEnd"/>
      <w:r w:rsidRPr="006B2132">
        <w:rPr>
          <w:rFonts w:ascii="inter" w:eastAsia="inter" w:hAnsi="inter" w:cs="inter"/>
          <w:color w:val="000000"/>
          <w:lang w:val="ru-RU"/>
        </w:rPr>
        <w:t xml:space="preserve"> спектр, рубин, лазерная генерация, спектроскопия, конденсация Бозе-Эйнштейна.</w:t>
      </w:r>
    </w:p>
    <w:p w14:paraId="124B014A" w14:textId="265F9BB0" w:rsidR="00A95F41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Kaftaikin M.V., </w:t>
      </w:r>
      <w:proofErr w:type="spellStart"/>
      <w:r>
        <w:rPr>
          <w:rFonts w:ascii="inter" w:eastAsia="inter" w:hAnsi="inter" w:cs="inter"/>
          <w:color w:val="000000"/>
        </w:rPr>
        <w:t>Shevel</w:t>
      </w:r>
      <w:proofErr w:type="spellEnd"/>
      <w:r>
        <w:rPr>
          <w:rFonts w:ascii="inter" w:eastAsia="inter" w:hAnsi="inter" w:cs="inter"/>
          <w:color w:val="000000"/>
        </w:rPr>
        <w:t xml:space="preserve"> A.V., Filatov V.V.</w:t>
      </w:r>
      <w:r>
        <w:rPr>
          <w:rFonts w:ascii="inter" w:eastAsia="inter" w:hAnsi="inter" w:cs="inter"/>
          <w:color w:val="000000"/>
        </w:rPr>
        <w:br/>
        <w:t>MODELING OF THE POLARITON SPECTRUM OF LASER RUBY WITH CONSIDERATION OF THE MAIN OPTICAL RESONANCES</w:t>
      </w:r>
    </w:p>
    <w:p w14:paraId="627D38F7" w14:textId="77777777" w:rsidR="00A95F41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A simple phenomenological approach for modeling the polariton spectrum ω = ω(k) of a laser material is proposed, based on the decomposition of the dielectric function ε(ω) into Lorentzian (electronic) oscillators. The polariton spectrum of laser ruby (</w:t>
      </w:r>
      <w:proofErr w:type="spellStart"/>
      <w:r>
        <w:rPr>
          <w:rFonts w:ascii="inter" w:eastAsia="inter" w:hAnsi="inter" w:cs="inter"/>
          <w:color w:val="000000"/>
        </w:rPr>
        <w:t>Al₂O</w:t>
      </w:r>
      <w:proofErr w:type="spellEnd"/>
      <w:proofErr w:type="gramStart"/>
      <w:r>
        <w:rPr>
          <w:rFonts w:ascii="inter" w:eastAsia="inter" w:hAnsi="inter" w:cs="inter"/>
          <w:color w:val="000000"/>
        </w:rPr>
        <w:t>₃:Cr</w:t>
      </w:r>
      <w:proofErr w:type="gramEnd"/>
      <w:r>
        <w:rPr>
          <w:rFonts w:ascii="inter" w:eastAsia="inter" w:hAnsi="inter" w:cs="inter"/>
          <w:color w:val="000000"/>
        </w:rPr>
        <w:t>³⁺) is obtained, considering its main optical resonances: 1) the "laser" spectral doublet {R₁,R₂}, corresponding to the two-component metastable electronic level ²E = {Ē, 2Ā}; 2) the pump band U (electronic band ⁴F₂); 3) the idle line B (nonradiative electronic level ²F₂); and 4) the pump band Y (electronic band ⁴F₁). Spectroscopy of a sample (a ruby tablet cut from a ruby laser rod) was carried out, and good agreement between theory and experiment was established. The possibility of Bose-Einstein condensation of R-polaritons upon cooling ruby to low temperatures is predicted.</w:t>
      </w:r>
    </w:p>
    <w:p w14:paraId="78FF47B3" w14:textId="77777777" w:rsidR="00A95F41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Keywords: polariton spectrum, ruby, laser generation, spectroscopy, Bose-Einstein condensation.</w:t>
      </w:r>
      <w:r>
        <w:rPr>
          <w:rFonts w:ascii="inter" w:eastAsia="inter" w:hAnsi="inter" w:cs="inter"/>
          <w:color w:val="000000"/>
        </w:rPr>
        <w:br/>
      </w:r>
    </w:p>
    <w:p w14:paraId="327D2899" w14:textId="5F3243CB" w:rsidR="00A95F41" w:rsidRPr="006B2132" w:rsidRDefault="00000000" w:rsidP="006B2132">
      <w:pPr>
        <w:spacing w:before="210" w:after="0" w:line="360" w:lineRule="auto"/>
        <w:rPr>
          <w:lang w:val="ru-RU"/>
        </w:rPr>
      </w:pPr>
      <w:r>
        <w:rPr>
          <w:noProof/>
        </w:rPr>
      </w:r>
      <w:r>
        <w:rPr>
          <w:noProof/>
        </w:rPr>
        <w:pict w14:anchorId="2ED9EF25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  <w:bookmarkStart w:id="0" w:name="fn1"/>
      <w:bookmarkEnd w:id="0"/>
    </w:p>
    <w:sectPr w:rsidR="00A95F41" w:rsidRPr="006B2132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A52CD"/>
    <w:multiLevelType w:val="hybridMultilevel"/>
    <w:tmpl w:val="71820FB4"/>
    <w:lvl w:ilvl="0" w:tplc="AB9C1AB2">
      <w:numFmt w:val="decimal"/>
      <w:lvlText w:val=""/>
      <w:lvlJc w:val="left"/>
    </w:lvl>
    <w:lvl w:ilvl="1" w:tplc="5CE64B52">
      <w:numFmt w:val="decimal"/>
      <w:lvlText w:val=""/>
      <w:lvlJc w:val="left"/>
    </w:lvl>
    <w:lvl w:ilvl="2" w:tplc="E40E6FDE">
      <w:numFmt w:val="decimal"/>
      <w:lvlText w:val=""/>
      <w:lvlJc w:val="left"/>
    </w:lvl>
    <w:lvl w:ilvl="3" w:tplc="0D48EC48">
      <w:numFmt w:val="decimal"/>
      <w:lvlText w:val=""/>
      <w:lvlJc w:val="left"/>
    </w:lvl>
    <w:lvl w:ilvl="4" w:tplc="3C74A7A4">
      <w:numFmt w:val="decimal"/>
      <w:lvlText w:val=""/>
      <w:lvlJc w:val="left"/>
    </w:lvl>
    <w:lvl w:ilvl="5" w:tplc="C09CA2F6">
      <w:numFmt w:val="decimal"/>
      <w:lvlText w:val=""/>
      <w:lvlJc w:val="left"/>
    </w:lvl>
    <w:lvl w:ilvl="6" w:tplc="2CCCD9D4">
      <w:numFmt w:val="decimal"/>
      <w:lvlText w:val=""/>
      <w:lvlJc w:val="left"/>
    </w:lvl>
    <w:lvl w:ilvl="7" w:tplc="5CC66A64">
      <w:numFmt w:val="decimal"/>
      <w:lvlText w:val=""/>
      <w:lvlJc w:val="left"/>
    </w:lvl>
    <w:lvl w:ilvl="8" w:tplc="DD18A498">
      <w:numFmt w:val="decimal"/>
      <w:lvlText w:val=""/>
      <w:lvlJc w:val="left"/>
    </w:lvl>
  </w:abstractNum>
  <w:abstractNum w:abstractNumId="1" w15:restartNumberingAfterBreak="0">
    <w:nsid w:val="6F1F52C7"/>
    <w:multiLevelType w:val="hybridMultilevel"/>
    <w:tmpl w:val="E84C687C"/>
    <w:lvl w:ilvl="0" w:tplc="CBC246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AA2022EC">
      <w:numFmt w:val="decimal"/>
      <w:lvlText w:val=""/>
      <w:lvlJc w:val="left"/>
    </w:lvl>
    <w:lvl w:ilvl="2" w:tplc="158CEC28">
      <w:numFmt w:val="decimal"/>
      <w:lvlText w:val=""/>
      <w:lvlJc w:val="left"/>
    </w:lvl>
    <w:lvl w:ilvl="3" w:tplc="79E6E6C0">
      <w:numFmt w:val="decimal"/>
      <w:lvlText w:val=""/>
      <w:lvlJc w:val="left"/>
    </w:lvl>
    <w:lvl w:ilvl="4" w:tplc="DDBE5438">
      <w:numFmt w:val="decimal"/>
      <w:lvlText w:val=""/>
      <w:lvlJc w:val="left"/>
    </w:lvl>
    <w:lvl w:ilvl="5" w:tplc="527E014A">
      <w:numFmt w:val="decimal"/>
      <w:lvlText w:val=""/>
      <w:lvlJc w:val="left"/>
    </w:lvl>
    <w:lvl w:ilvl="6" w:tplc="E94C920C">
      <w:numFmt w:val="decimal"/>
      <w:lvlText w:val=""/>
      <w:lvlJc w:val="left"/>
    </w:lvl>
    <w:lvl w:ilvl="7" w:tplc="813AFAF4">
      <w:numFmt w:val="decimal"/>
      <w:lvlText w:val=""/>
      <w:lvlJc w:val="left"/>
    </w:lvl>
    <w:lvl w:ilvl="8" w:tplc="047C8308">
      <w:numFmt w:val="decimal"/>
      <w:lvlText w:val=""/>
      <w:lvlJc w:val="left"/>
    </w:lvl>
  </w:abstractNum>
  <w:num w:numId="1" w16cid:durableId="1194803167">
    <w:abstractNumId w:val="0"/>
  </w:num>
  <w:num w:numId="2" w16cid:durableId="518554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5F41"/>
    <w:rsid w:val="006B2132"/>
    <w:rsid w:val="00996CFA"/>
    <w:rsid w:val="00A95F41"/>
    <w:rsid w:val="00E75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4373AA34"/>
  <w15:docId w15:val="{33C4A941-AD46-4C9A-9C47-32A6B44FD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333</Words>
  <Characters>1904</Characters>
  <Application>Microsoft Office Word</Application>
  <DocSecurity>0</DocSecurity>
  <Lines>15</Lines>
  <Paragraphs>4</Paragraphs>
  <ScaleCrop>false</ScaleCrop>
  <Company/>
  <LinksUpToDate>false</LinksUpToDate>
  <CharactersWithSpaces>2233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Matvey Kaftaikin</cp:lastModifiedBy>
  <cp:revision>2</cp:revision>
  <dcterms:created xsi:type="dcterms:W3CDTF">2025-09-20T09:56:00Z</dcterms:created>
  <dcterms:modified xsi:type="dcterms:W3CDTF">2025-09-20T09:56:00Z</dcterms:modified>
</cp:coreProperties>
</file>