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E0D" w:rsidRPr="00D754C0" w:rsidRDefault="00A17EE9" w:rsidP="00FA1E0D">
      <w:pPr>
        <w:jc w:val="center"/>
        <w:rPr>
          <w:b/>
          <w:sz w:val="32"/>
          <w:szCs w:val="28"/>
        </w:rPr>
      </w:pPr>
      <w:r w:rsidRPr="00D754C0">
        <w:rPr>
          <w:b/>
          <w:sz w:val="32"/>
          <w:szCs w:val="28"/>
        </w:rPr>
        <w:t>Оценка эквивалентной нагрузки приходящей на элементы конструкции,</w:t>
      </w:r>
      <w:r w:rsidR="00456B3F" w:rsidRPr="00D754C0">
        <w:rPr>
          <w:b/>
          <w:sz w:val="32"/>
          <w:szCs w:val="28"/>
        </w:rPr>
        <w:t xml:space="preserve"> закрепленные</w:t>
      </w:r>
      <w:r w:rsidRPr="00D754C0">
        <w:rPr>
          <w:b/>
          <w:sz w:val="32"/>
          <w:szCs w:val="28"/>
        </w:rPr>
        <w:t xml:space="preserve"> на силовой раме, при ударном </w:t>
      </w:r>
      <w:proofErr w:type="spellStart"/>
      <w:r w:rsidRPr="00D754C0">
        <w:rPr>
          <w:b/>
          <w:sz w:val="32"/>
          <w:szCs w:val="28"/>
        </w:rPr>
        <w:t>нагружении</w:t>
      </w:r>
      <w:proofErr w:type="spellEnd"/>
      <w:r w:rsidR="00FA1E0D" w:rsidRPr="00D754C0">
        <w:rPr>
          <w:b/>
          <w:sz w:val="32"/>
          <w:szCs w:val="28"/>
        </w:rPr>
        <w:t xml:space="preserve"> </w:t>
      </w:r>
    </w:p>
    <w:p w:rsidR="00FA1E0D" w:rsidRPr="00D754C0" w:rsidRDefault="00FA1E0D" w:rsidP="00FA1E0D">
      <w:pPr>
        <w:jc w:val="both"/>
        <w:rPr>
          <w:color w:val="000000"/>
          <w:sz w:val="22"/>
          <w:szCs w:val="28"/>
        </w:rPr>
      </w:pPr>
    </w:p>
    <w:p w:rsidR="00FA1E0D" w:rsidRPr="00D754C0" w:rsidRDefault="00A17EE9" w:rsidP="00FA1E0D">
      <w:pPr>
        <w:jc w:val="center"/>
        <w:rPr>
          <w:szCs w:val="28"/>
        </w:rPr>
      </w:pPr>
      <w:r w:rsidRPr="00D754C0">
        <w:rPr>
          <w:szCs w:val="28"/>
        </w:rPr>
        <w:t>Заболотский А.С.</w:t>
      </w:r>
      <w:r w:rsidR="00067E6B" w:rsidRPr="00D754C0">
        <w:rPr>
          <w:szCs w:val="28"/>
        </w:rPr>
        <w:t xml:space="preserve"> </w:t>
      </w:r>
      <w:r w:rsidR="00BD5864" w:rsidRPr="00D754C0">
        <w:rPr>
          <w:szCs w:val="28"/>
          <w:vertAlign w:val="superscript"/>
        </w:rPr>
        <w:t>1,2 *</w:t>
      </w:r>
      <w:r w:rsidR="00490243" w:rsidRPr="00D754C0">
        <w:rPr>
          <w:szCs w:val="28"/>
        </w:rPr>
        <w:t>,</w:t>
      </w:r>
      <w:r w:rsidR="00FA1E0D" w:rsidRPr="00D754C0">
        <w:rPr>
          <w:szCs w:val="28"/>
        </w:rPr>
        <w:t xml:space="preserve"> </w:t>
      </w:r>
      <w:r w:rsidRPr="00D754C0">
        <w:rPr>
          <w:szCs w:val="28"/>
        </w:rPr>
        <w:t>Капустин Е.А.</w:t>
      </w:r>
      <w:r w:rsidR="00067E6B" w:rsidRPr="00D754C0">
        <w:rPr>
          <w:szCs w:val="28"/>
        </w:rPr>
        <w:t xml:space="preserve"> </w:t>
      </w:r>
      <w:r w:rsidRPr="00D754C0">
        <w:rPr>
          <w:szCs w:val="28"/>
          <w:vertAlign w:val="superscript"/>
        </w:rPr>
        <w:t>2</w:t>
      </w:r>
      <w:r w:rsidR="00490243" w:rsidRPr="00D754C0">
        <w:rPr>
          <w:szCs w:val="28"/>
        </w:rPr>
        <w:t xml:space="preserve"> </w:t>
      </w:r>
    </w:p>
    <w:p w:rsidR="00FA1E0D" w:rsidRPr="00D754C0" w:rsidRDefault="00FA1E0D" w:rsidP="00FA1E0D">
      <w:pPr>
        <w:jc w:val="center"/>
        <w:rPr>
          <w:i/>
          <w:sz w:val="22"/>
          <w:szCs w:val="28"/>
        </w:rPr>
      </w:pPr>
    </w:p>
    <w:p w:rsidR="00490243" w:rsidRPr="00D754C0" w:rsidRDefault="00BD5864" w:rsidP="00FA1E0D">
      <w:pPr>
        <w:jc w:val="center"/>
        <w:rPr>
          <w:sz w:val="22"/>
          <w:szCs w:val="28"/>
        </w:rPr>
      </w:pPr>
      <w:r w:rsidRPr="00D754C0">
        <w:rPr>
          <w:sz w:val="22"/>
          <w:szCs w:val="28"/>
          <w:vertAlign w:val="superscript"/>
        </w:rPr>
        <w:t>1</w:t>
      </w:r>
      <w:r w:rsidR="00A17EE9" w:rsidRPr="00D754C0">
        <w:rPr>
          <w:sz w:val="22"/>
          <w:szCs w:val="28"/>
        </w:rPr>
        <w:t>НИУ «МЭИ»</w:t>
      </w:r>
      <w:r w:rsidR="00FA1E0D" w:rsidRPr="00D754C0">
        <w:rPr>
          <w:sz w:val="22"/>
          <w:szCs w:val="28"/>
        </w:rPr>
        <w:t>, Москва, Россия</w:t>
      </w:r>
      <w:r w:rsidR="00D754C0" w:rsidRPr="00D754C0">
        <w:rPr>
          <w:sz w:val="22"/>
          <w:szCs w:val="28"/>
        </w:rPr>
        <w:t>.</w:t>
      </w:r>
      <w:r w:rsidR="007061FF" w:rsidRPr="00D754C0">
        <w:rPr>
          <w:sz w:val="22"/>
          <w:szCs w:val="28"/>
        </w:rPr>
        <w:t xml:space="preserve"> </w:t>
      </w:r>
      <w:r w:rsidRPr="00D754C0">
        <w:rPr>
          <w:sz w:val="22"/>
          <w:szCs w:val="28"/>
          <w:vertAlign w:val="superscript"/>
        </w:rPr>
        <w:t>2</w:t>
      </w:r>
      <w:r w:rsidR="00A17EE9" w:rsidRPr="00D754C0">
        <w:rPr>
          <w:sz w:val="22"/>
          <w:szCs w:val="28"/>
        </w:rPr>
        <w:t>АО «НИКИЭТ»</w:t>
      </w:r>
      <w:r w:rsidR="00490243" w:rsidRPr="00D754C0">
        <w:rPr>
          <w:sz w:val="22"/>
          <w:szCs w:val="28"/>
        </w:rPr>
        <w:t>, Москва, Россия</w:t>
      </w:r>
    </w:p>
    <w:p w:rsidR="00FA1E0D" w:rsidRPr="00D754C0" w:rsidRDefault="00A17EE9" w:rsidP="00FA1E0D">
      <w:pPr>
        <w:jc w:val="center"/>
        <w:rPr>
          <w:color w:val="000000"/>
          <w:sz w:val="22"/>
          <w:szCs w:val="28"/>
        </w:rPr>
      </w:pPr>
      <w:proofErr w:type="spellStart"/>
      <w:r w:rsidRPr="00D754C0">
        <w:rPr>
          <w:sz w:val="22"/>
          <w:lang w:val="en-US"/>
        </w:rPr>
        <w:t>zab</w:t>
      </w:r>
      <w:proofErr w:type="spellEnd"/>
      <w:r w:rsidRPr="00D754C0">
        <w:rPr>
          <w:sz w:val="22"/>
        </w:rPr>
        <w:t>-</w:t>
      </w:r>
      <w:proofErr w:type="spellStart"/>
      <w:r w:rsidRPr="00D754C0">
        <w:rPr>
          <w:sz w:val="22"/>
          <w:lang w:val="en-US"/>
        </w:rPr>
        <w:t>anton</w:t>
      </w:r>
      <w:proofErr w:type="spellEnd"/>
      <w:r w:rsidRPr="00D754C0">
        <w:rPr>
          <w:sz w:val="22"/>
        </w:rPr>
        <w:t>2008@</w:t>
      </w:r>
      <w:proofErr w:type="spellStart"/>
      <w:r w:rsidRPr="00D754C0">
        <w:rPr>
          <w:sz w:val="22"/>
          <w:lang w:val="en-US"/>
        </w:rPr>
        <w:t>yandex</w:t>
      </w:r>
      <w:proofErr w:type="spellEnd"/>
      <w:r w:rsidRPr="00D754C0">
        <w:rPr>
          <w:sz w:val="22"/>
        </w:rPr>
        <w:t>.</w:t>
      </w:r>
      <w:proofErr w:type="spellStart"/>
      <w:r w:rsidRPr="00D754C0">
        <w:rPr>
          <w:sz w:val="22"/>
          <w:lang w:val="en-US"/>
        </w:rPr>
        <w:t>ru</w:t>
      </w:r>
      <w:proofErr w:type="spellEnd"/>
    </w:p>
    <w:p w:rsidR="00FA1E0D" w:rsidRPr="00D754C0" w:rsidRDefault="00FA1E0D" w:rsidP="00FA1E0D">
      <w:pPr>
        <w:jc w:val="both"/>
        <w:rPr>
          <w:i/>
          <w:color w:val="000000"/>
          <w:szCs w:val="28"/>
        </w:rPr>
      </w:pPr>
      <w:r w:rsidRPr="00D754C0">
        <w:rPr>
          <w:i/>
          <w:color w:val="000000"/>
          <w:szCs w:val="28"/>
        </w:rPr>
        <w:t xml:space="preserve"> </w:t>
      </w:r>
    </w:p>
    <w:p w:rsidR="00645548" w:rsidRPr="00D754C0" w:rsidRDefault="00490243" w:rsidP="00FA1E0D">
      <w:pPr>
        <w:ind w:firstLine="709"/>
        <w:jc w:val="both"/>
        <w:rPr>
          <w:szCs w:val="28"/>
        </w:rPr>
      </w:pPr>
      <w:r w:rsidRPr="00D754C0">
        <w:rPr>
          <w:b/>
          <w:szCs w:val="28"/>
        </w:rPr>
        <w:t>Аннотация</w:t>
      </w:r>
      <w:r w:rsidR="00D754C0" w:rsidRPr="00D754C0">
        <w:rPr>
          <w:b/>
          <w:szCs w:val="28"/>
        </w:rPr>
        <w:t xml:space="preserve">: </w:t>
      </w:r>
      <w:r w:rsidR="00645548" w:rsidRPr="00D754C0">
        <w:rPr>
          <w:szCs w:val="28"/>
        </w:rPr>
        <w:t xml:space="preserve">Представлена расчётная методика определения </w:t>
      </w:r>
      <w:r w:rsidR="00456B3F" w:rsidRPr="00D754C0">
        <w:rPr>
          <w:szCs w:val="28"/>
        </w:rPr>
        <w:t>эквивалентной нагрузки,</w:t>
      </w:r>
      <w:r w:rsidR="00645548" w:rsidRPr="00D754C0">
        <w:rPr>
          <w:szCs w:val="28"/>
        </w:rPr>
        <w:t xml:space="preserve"> </w:t>
      </w:r>
      <w:r w:rsidR="00456B3F" w:rsidRPr="00D754C0">
        <w:rPr>
          <w:szCs w:val="28"/>
        </w:rPr>
        <w:t>приходящей на отдельные элементы конструкции, которые закреплены на силовой раме, к которой приложено уда</w:t>
      </w:r>
      <w:bookmarkStart w:id="0" w:name="_GoBack"/>
      <w:bookmarkEnd w:id="0"/>
      <w:r w:rsidR="00456B3F" w:rsidRPr="00D754C0">
        <w:rPr>
          <w:szCs w:val="28"/>
        </w:rPr>
        <w:t xml:space="preserve">рное </w:t>
      </w:r>
      <w:proofErr w:type="spellStart"/>
      <w:r w:rsidR="00456B3F" w:rsidRPr="00D754C0">
        <w:rPr>
          <w:szCs w:val="28"/>
        </w:rPr>
        <w:t>нагружение</w:t>
      </w:r>
      <w:proofErr w:type="spellEnd"/>
      <w:r w:rsidR="00456B3F" w:rsidRPr="00D754C0">
        <w:rPr>
          <w:szCs w:val="28"/>
        </w:rPr>
        <w:t xml:space="preserve"> при помощи математического моделирования. Основные закономерности эквивалентной нагрузки от геометрии силовой рамы и метода крепления внутренних элементов.</w:t>
      </w:r>
    </w:p>
    <w:p w:rsidR="00FA1E0D" w:rsidRPr="00D754C0" w:rsidRDefault="00FA1E0D" w:rsidP="00FA1E0D">
      <w:pPr>
        <w:ind w:firstLine="709"/>
        <w:jc w:val="both"/>
        <w:rPr>
          <w:i/>
        </w:rPr>
      </w:pPr>
      <w:r w:rsidRPr="00D754C0">
        <w:rPr>
          <w:b/>
          <w:i/>
        </w:rPr>
        <w:t>Ключевые слова:</w:t>
      </w:r>
      <w:r w:rsidRPr="00D754C0">
        <w:rPr>
          <w:i/>
        </w:rPr>
        <w:t xml:space="preserve"> </w:t>
      </w:r>
      <w:r w:rsidR="00A17EE9" w:rsidRPr="00D754C0">
        <w:rPr>
          <w:i/>
        </w:rPr>
        <w:t>математическое моделирование</w:t>
      </w:r>
      <w:r w:rsidR="00490243" w:rsidRPr="00D754C0">
        <w:rPr>
          <w:i/>
        </w:rPr>
        <w:t xml:space="preserve">, </w:t>
      </w:r>
      <w:r w:rsidR="00A17EE9" w:rsidRPr="00D754C0">
        <w:rPr>
          <w:i/>
        </w:rPr>
        <w:t xml:space="preserve">эквивалентная нагрузка, ударное </w:t>
      </w:r>
      <w:proofErr w:type="spellStart"/>
      <w:r w:rsidR="00A17EE9" w:rsidRPr="00D754C0">
        <w:rPr>
          <w:i/>
        </w:rPr>
        <w:t>нагружение</w:t>
      </w:r>
      <w:proofErr w:type="spellEnd"/>
      <w:r w:rsidR="00490243" w:rsidRPr="00D754C0">
        <w:rPr>
          <w:i/>
        </w:rPr>
        <w:t>.</w:t>
      </w:r>
    </w:p>
    <w:p w:rsidR="00FA1E0D" w:rsidRPr="00D754C0" w:rsidRDefault="00FA1E0D" w:rsidP="00FA1E0D">
      <w:pPr>
        <w:ind w:firstLine="709"/>
        <w:jc w:val="both"/>
        <w:rPr>
          <w:szCs w:val="28"/>
        </w:rPr>
      </w:pPr>
    </w:p>
    <w:p w:rsidR="00BD5864" w:rsidRPr="00D754C0" w:rsidRDefault="00BD5864" w:rsidP="00BD5864">
      <w:pPr>
        <w:ind w:firstLine="709"/>
        <w:jc w:val="both"/>
        <w:rPr>
          <w:b/>
          <w:szCs w:val="28"/>
        </w:rPr>
      </w:pPr>
      <w:r w:rsidRPr="00D754C0">
        <w:rPr>
          <w:b/>
          <w:szCs w:val="28"/>
        </w:rPr>
        <w:t>Литература</w:t>
      </w:r>
    </w:p>
    <w:p w:rsidR="00645548" w:rsidRPr="00D754C0" w:rsidRDefault="00BD5864" w:rsidP="00645548">
      <w:pPr>
        <w:pStyle w:val="Default"/>
        <w:ind w:firstLine="709"/>
        <w:jc w:val="both"/>
        <w:rPr>
          <w:szCs w:val="28"/>
        </w:rPr>
      </w:pPr>
      <w:r w:rsidRPr="00D754C0">
        <w:rPr>
          <w:szCs w:val="28"/>
        </w:rPr>
        <w:t>1.</w:t>
      </w:r>
      <w:r w:rsidR="00645548" w:rsidRPr="00D754C0">
        <w:rPr>
          <w:sz w:val="22"/>
        </w:rPr>
        <w:t xml:space="preserve"> </w:t>
      </w:r>
      <w:r w:rsidR="00645548" w:rsidRPr="00D754C0">
        <w:rPr>
          <w:szCs w:val="28"/>
        </w:rPr>
        <w:t xml:space="preserve">Бондаренко А.Ю. Математическое моделирование переходных процессов при наземных испытаниях изделий ракетно-космической техники // Космонавтика и ракетостроение. 2016. № 7(92). С. 48–52. </w:t>
      </w:r>
    </w:p>
    <w:p w:rsidR="00645548" w:rsidRPr="00D754C0" w:rsidRDefault="00BD5864" w:rsidP="00645548">
      <w:pPr>
        <w:pStyle w:val="Default"/>
        <w:ind w:firstLine="709"/>
        <w:jc w:val="both"/>
        <w:rPr>
          <w:szCs w:val="28"/>
          <w:lang w:val="en-US"/>
        </w:rPr>
      </w:pPr>
      <w:r w:rsidRPr="00D754C0">
        <w:rPr>
          <w:szCs w:val="28"/>
        </w:rPr>
        <w:t>2.</w:t>
      </w:r>
      <w:r w:rsidR="00645548" w:rsidRPr="00D754C0">
        <w:rPr>
          <w:sz w:val="22"/>
        </w:rPr>
        <w:t xml:space="preserve"> </w:t>
      </w:r>
      <w:r w:rsidR="00645548" w:rsidRPr="00D754C0">
        <w:rPr>
          <w:szCs w:val="28"/>
        </w:rPr>
        <w:t xml:space="preserve">Бондаренко А.Ю., Сидоров В.В. Методический подход к наземной отработке конструкций ракетно-космической техники при нагрузках, возникающих в результате переходных процессов // Космонавтика и ракетостроение. </w:t>
      </w:r>
      <w:r w:rsidR="00645548" w:rsidRPr="00D754C0">
        <w:rPr>
          <w:szCs w:val="28"/>
          <w:lang w:val="en-US"/>
        </w:rPr>
        <w:t xml:space="preserve">2016. № 3(88). </w:t>
      </w:r>
      <w:r w:rsidR="00645548" w:rsidRPr="00D754C0">
        <w:rPr>
          <w:szCs w:val="28"/>
        </w:rPr>
        <w:t>С</w:t>
      </w:r>
      <w:r w:rsidR="00645548" w:rsidRPr="00D754C0">
        <w:rPr>
          <w:szCs w:val="28"/>
          <w:lang w:val="en-US"/>
        </w:rPr>
        <w:t xml:space="preserve">. 77–82. </w:t>
      </w:r>
    </w:p>
    <w:p w:rsidR="00BD5864" w:rsidRPr="00D754C0" w:rsidRDefault="00BD5864" w:rsidP="00645548">
      <w:pPr>
        <w:ind w:firstLine="709"/>
        <w:jc w:val="both"/>
        <w:rPr>
          <w:szCs w:val="28"/>
          <w:lang w:val="en-US"/>
        </w:rPr>
      </w:pPr>
    </w:p>
    <w:p w:rsidR="00BD5864" w:rsidRPr="00D754C0" w:rsidRDefault="00BD5864" w:rsidP="00BD5864">
      <w:pPr>
        <w:ind w:firstLine="709"/>
        <w:jc w:val="both"/>
        <w:rPr>
          <w:szCs w:val="28"/>
          <w:lang w:val="en-US"/>
        </w:rPr>
      </w:pPr>
    </w:p>
    <w:p w:rsidR="00D754C0" w:rsidRPr="00D754C0" w:rsidRDefault="00D754C0" w:rsidP="00D754C0">
      <w:pPr>
        <w:jc w:val="center"/>
        <w:rPr>
          <w:b/>
          <w:sz w:val="32"/>
          <w:szCs w:val="36"/>
          <w:lang w:val="en-US"/>
        </w:rPr>
      </w:pPr>
      <w:r w:rsidRPr="00D754C0">
        <w:rPr>
          <w:b/>
          <w:sz w:val="32"/>
          <w:szCs w:val="36"/>
          <w:lang w:val="en-US"/>
        </w:rPr>
        <w:t>Estimating the Equivalent Load Applied to Structural Elements Attached to a Load Frame under Impact Loading</w:t>
      </w:r>
    </w:p>
    <w:p w:rsidR="00FA1E0D" w:rsidRPr="00D754C0" w:rsidRDefault="00FA1E0D" w:rsidP="00FA1E0D">
      <w:pPr>
        <w:ind w:firstLine="709"/>
        <w:jc w:val="both"/>
        <w:rPr>
          <w:rStyle w:val="tlid-translation"/>
          <w:sz w:val="22"/>
          <w:szCs w:val="28"/>
          <w:lang w:val="en-US"/>
        </w:rPr>
      </w:pPr>
    </w:p>
    <w:p w:rsidR="00D754C0" w:rsidRPr="00D754C0" w:rsidRDefault="00D754C0" w:rsidP="00D754C0">
      <w:pPr>
        <w:jc w:val="center"/>
        <w:rPr>
          <w:szCs w:val="28"/>
          <w:lang w:val="en-US"/>
        </w:rPr>
      </w:pPr>
      <w:proofErr w:type="spellStart"/>
      <w:r w:rsidRPr="00D754C0">
        <w:rPr>
          <w:szCs w:val="28"/>
          <w:lang w:val="en-US"/>
        </w:rPr>
        <w:t>Zabolotsky</w:t>
      </w:r>
      <w:proofErr w:type="spellEnd"/>
      <w:r w:rsidRPr="00D754C0">
        <w:rPr>
          <w:szCs w:val="28"/>
          <w:lang w:val="en-US"/>
        </w:rPr>
        <w:t xml:space="preserve"> A.S.  </w:t>
      </w:r>
      <w:r w:rsidRPr="00D754C0">
        <w:rPr>
          <w:szCs w:val="28"/>
          <w:vertAlign w:val="superscript"/>
          <w:lang w:val="en-US"/>
        </w:rPr>
        <w:t>1,2 *</w:t>
      </w:r>
      <w:r w:rsidRPr="00D754C0">
        <w:rPr>
          <w:szCs w:val="28"/>
          <w:lang w:val="en-US"/>
        </w:rPr>
        <w:t xml:space="preserve">, Kapustin </w:t>
      </w:r>
      <w:proofErr w:type="gramStart"/>
      <w:r w:rsidRPr="00D754C0">
        <w:rPr>
          <w:szCs w:val="28"/>
          <w:lang w:val="en-US"/>
        </w:rPr>
        <w:t>E.A</w:t>
      </w:r>
      <w:proofErr w:type="gramEnd"/>
      <w:r w:rsidRPr="00D754C0">
        <w:rPr>
          <w:szCs w:val="28"/>
          <w:vertAlign w:val="superscript"/>
          <w:lang w:val="en-US"/>
        </w:rPr>
        <w:t>2</w:t>
      </w:r>
      <w:r w:rsidRPr="00D754C0">
        <w:rPr>
          <w:szCs w:val="28"/>
          <w:lang w:val="en-US"/>
        </w:rPr>
        <w:t xml:space="preserve"> </w:t>
      </w:r>
    </w:p>
    <w:p w:rsidR="00D754C0" w:rsidRPr="00D754C0" w:rsidRDefault="00D754C0" w:rsidP="00D754C0">
      <w:pPr>
        <w:jc w:val="center"/>
        <w:rPr>
          <w:i/>
          <w:sz w:val="22"/>
          <w:szCs w:val="28"/>
          <w:lang w:val="en-US"/>
        </w:rPr>
      </w:pPr>
    </w:p>
    <w:p w:rsidR="00D754C0" w:rsidRPr="00D754C0" w:rsidRDefault="00D754C0" w:rsidP="00D754C0">
      <w:pPr>
        <w:jc w:val="center"/>
        <w:rPr>
          <w:sz w:val="22"/>
          <w:szCs w:val="28"/>
          <w:lang w:val="en-US"/>
        </w:rPr>
      </w:pPr>
      <w:r w:rsidRPr="00D754C0">
        <w:rPr>
          <w:sz w:val="22"/>
          <w:szCs w:val="28"/>
          <w:vertAlign w:val="superscript"/>
          <w:lang w:val="en-US"/>
        </w:rPr>
        <w:t>1</w:t>
      </w:r>
      <w:r w:rsidRPr="00D754C0">
        <w:rPr>
          <w:sz w:val="22"/>
          <w:lang w:val="en-US"/>
        </w:rPr>
        <w:t>MPEI National Research University, Moscow, Russia</w:t>
      </w:r>
      <w:r w:rsidRPr="00D754C0">
        <w:rPr>
          <w:sz w:val="22"/>
          <w:lang w:val="en-US"/>
        </w:rPr>
        <w:t xml:space="preserve">. </w:t>
      </w:r>
      <w:r w:rsidRPr="00D754C0">
        <w:rPr>
          <w:sz w:val="22"/>
          <w:szCs w:val="28"/>
          <w:vertAlign w:val="superscript"/>
          <w:lang w:val="en-US"/>
        </w:rPr>
        <w:t>2</w:t>
      </w:r>
      <w:r w:rsidRPr="00D754C0">
        <w:rPr>
          <w:sz w:val="22"/>
          <w:szCs w:val="28"/>
          <w:lang w:val="en-US"/>
        </w:rPr>
        <w:t xml:space="preserve"> </w:t>
      </w:r>
      <w:r w:rsidRPr="00D754C0">
        <w:rPr>
          <w:sz w:val="22"/>
          <w:lang w:val="en-US"/>
        </w:rPr>
        <w:t>NIKIET JSC, Moscow, Russia</w:t>
      </w:r>
    </w:p>
    <w:p w:rsidR="00FA1E0D" w:rsidRPr="00D754C0" w:rsidRDefault="00A17EE9" w:rsidP="00A17EE9">
      <w:pPr>
        <w:jc w:val="center"/>
        <w:rPr>
          <w:color w:val="000000"/>
          <w:sz w:val="22"/>
          <w:szCs w:val="28"/>
          <w:lang w:val="en-US"/>
        </w:rPr>
      </w:pPr>
      <w:r w:rsidRPr="00D754C0">
        <w:rPr>
          <w:sz w:val="22"/>
          <w:lang w:val="en-US"/>
        </w:rPr>
        <w:t>zab-anton2008@yandex.ru</w:t>
      </w:r>
    </w:p>
    <w:p w:rsidR="00356D8B" w:rsidRPr="00D754C0" w:rsidRDefault="00356D8B" w:rsidP="00356D8B">
      <w:pPr>
        <w:jc w:val="center"/>
        <w:rPr>
          <w:rStyle w:val="tlid-translation"/>
          <w:sz w:val="22"/>
          <w:szCs w:val="28"/>
          <w:lang w:val="en-US"/>
        </w:rPr>
      </w:pPr>
    </w:p>
    <w:p w:rsidR="00D754C0" w:rsidRPr="00D754C0" w:rsidRDefault="00356D8B" w:rsidP="00D754C0">
      <w:pPr>
        <w:ind w:firstLine="851"/>
        <w:rPr>
          <w:szCs w:val="28"/>
          <w:lang w:val="en-US"/>
        </w:rPr>
      </w:pPr>
      <w:r w:rsidRPr="00D754C0">
        <w:rPr>
          <w:rStyle w:val="tlid-translation"/>
          <w:b/>
          <w:szCs w:val="28"/>
        </w:rPr>
        <w:t>А</w:t>
      </w:r>
      <w:proofErr w:type="spellStart"/>
      <w:proofErr w:type="gramStart"/>
      <w:r w:rsidRPr="00D754C0">
        <w:rPr>
          <w:rStyle w:val="tlid-translation"/>
          <w:b/>
          <w:szCs w:val="28"/>
          <w:lang w:val="en-US"/>
        </w:rPr>
        <w:t>nnotation</w:t>
      </w:r>
      <w:proofErr w:type="spellEnd"/>
      <w:r w:rsidR="00D754C0" w:rsidRPr="00D754C0">
        <w:rPr>
          <w:rStyle w:val="tlid-translation"/>
          <w:b/>
          <w:szCs w:val="28"/>
          <w:lang w:val="en-US"/>
        </w:rPr>
        <w:t xml:space="preserve">: </w:t>
      </w:r>
      <w:r w:rsidRPr="00D754C0">
        <w:rPr>
          <w:rStyle w:val="tlid-translation"/>
          <w:b/>
          <w:szCs w:val="28"/>
          <w:lang w:val="en-US"/>
        </w:rPr>
        <w:t xml:space="preserve"> </w:t>
      </w:r>
      <w:r w:rsidR="00D754C0" w:rsidRPr="00D754C0">
        <w:rPr>
          <w:szCs w:val="28"/>
          <w:lang w:val="en-US"/>
        </w:rPr>
        <w:t>This</w:t>
      </w:r>
      <w:proofErr w:type="gramEnd"/>
      <w:r w:rsidR="00D754C0" w:rsidRPr="00D754C0">
        <w:rPr>
          <w:szCs w:val="28"/>
          <w:lang w:val="en-US"/>
        </w:rPr>
        <w:t xml:space="preserve"> paper presents a calculation method for determining the equivalent load applied to individual structural elements attached to a load frame subjected to impact loading using mathematical modeling. The key factors determining the equivalent load are the load frame geometry and the fastening method of the internal elements.</w:t>
      </w:r>
    </w:p>
    <w:p w:rsidR="00356D8B" w:rsidRPr="00D754C0" w:rsidRDefault="00356D8B" w:rsidP="00D754C0">
      <w:pPr>
        <w:ind w:firstLine="851"/>
        <w:jc w:val="both"/>
        <w:rPr>
          <w:szCs w:val="28"/>
          <w:lang w:val="en-US"/>
        </w:rPr>
      </w:pPr>
    </w:p>
    <w:p w:rsidR="00D754C0" w:rsidRPr="00D754C0" w:rsidRDefault="00FA1E0D" w:rsidP="00D754C0">
      <w:pPr>
        <w:ind w:firstLine="851"/>
        <w:rPr>
          <w:szCs w:val="28"/>
          <w:lang w:val="en-US"/>
        </w:rPr>
      </w:pPr>
      <w:r w:rsidRPr="00D754C0">
        <w:rPr>
          <w:b/>
          <w:i/>
          <w:szCs w:val="28"/>
          <w:lang w:val="en-US"/>
        </w:rPr>
        <w:t>Keywords:</w:t>
      </w:r>
      <w:r w:rsidRPr="00D754C0">
        <w:rPr>
          <w:b/>
          <w:szCs w:val="28"/>
          <w:lang w:val="en-US"/>
        </w:rPr>
        <w:t xml:space="preserve"> </w:t>
      </w:r>
      <w:r w:rsidR="00D754C0" w:rsidRPr="00D754C0">
        <w:rPr>
          <w:szCs w:val="28"/>
          <w:lang w:val="en-US"/>
        </w:rPr>
        <w:t>mathematical modeling, equivalent load, impact loading.</w:t>
      </w:r>
    </w:p>
    <w:p w:rsidR="002116CA" w:rsidRPr="00D754C0" w:rsidRDefault="002116CA" w:rsidP="00FA1E0D">
      <w:pPr>
        <w:ind w:firstLine="851"/>
        <w:rPr>
          <w:b/>
          <w:sz w:val="22"/>
          <w:lang w:val="en-US"/>
        </w:rPr>
      </w:pPr>
    </w:p>
    <w:p w:rsidR="002116CA" w:rsidRPr="00D754C0" w:rsidRDefault="002116CA" w:rsidP="00FA1E0D">
      <w:pPr>
        <w:ind w:firstLine="851"/>
        <w:rPr>
          <w:b/>
          <w:szCs w:val="28"/>
          <w:lang w:val="en-US"/>
        </w:rPr>
      </w:pPr>
      <w:r w:rsidRPr="00D754C0">
        <w:rPr>
          <w:b/>
          <w:szCs w:val="28"/>
          <w:lang w:val="en-US"/>
        </w:rPr>
        <w:t>References</w:t>
      </w:r>
    </w:p>
    <w:p w:rsidR="002116CA" w:rsidRPr="00D754C0" w:rsidRDefault="002116CA" w:rsidP="00FA1E0D">
      <w:pPr>
        <w:ind w:firstLine="851"/>
        <w:rPr>
          <w:b/>
          <w:szCs w:val="28"/>
          <w:lang w:val="en-US"/>
        </w:rPr>
      </w:pPr>
      <w:r w:rsidRPr="00D754C0">
        <w:rPr>
          <w:b/>
          <w:szCs w:val="28"/>
          <w:lang w:val="en-US"/>
        </w:rPr>
        <w:t>1.</w:t>
      </w:r>
      <w:r w:rsidR="00D754C0" w:rsidRPr="00D754C0">
        <w:rPr>
          <w:szCs w:val="28"/>
          <w:lang w:val="en-US"/>
        </w:rPr>
        <w:t xml:space="preserve"> </w:t>
      </w:r>
      <w:proofErr w:type="spellStart"/>
      <w:r w:rsidR="00D754C0" w:rsidRPr="00D754C0">
        <w:rPr>
          <w:szCs w:val="28"/>
          <w:lang w:val="en-US"/>
        </w:rPr>
        <w:t>Bondarenko</w:t>
      </w:r>
      <w:proofErr w:type="spellEnd"/>
      <w:r w:rsidR="00D754C0" w:rsidRPr="00D754C0">
        <w:rPr>
          <w:szCs w:val="28"/>
          <w:lang w:val="en-US"/>
        </w:rPr>
        <w:t xml:space="preserve"> </w:t>
      </w:r>
      <w:proofErr w:type="spellStart"/>
      <w:r w:rsidR="00D754C0" w:rsidRPr="00D754C0">
        <w:rPr>
          <w:szCs w:val="28"/>
          <w:lang w:val="en-US"/>
        </w:rPr>
        <w:t>A.Yu</w:t>
      </w:r>
      <w:proofErr w:type="spellEnd"/>
      <w:r w:rsidR="00D754C0" w:rsidRPr="00D754C0">
        <w:rPr>
          <w:szCs w:val="28"/>
          <w:lang w:val="en-US"/>
        </w:rPr>
        <w:t>. Mathematical Modeling of Transient Processes during Ground Tests of Rocket and Space Technology Products // Cosmonautics and Rocket Engineering.  2016. No. 7(92). Pp. 48–52.</w:t>
      </w:r>
    </w:p>
    <w:p w:rsidR="002116CA" w:rsidRPr="00D754C0" w:rsidRDefault="002116CA" w:rsidP="00FA1E0D">
      <w:pPr>
        <w:ind w:firstLine="851"/>
        <w:rPr>
          <w:b/>
          <w:szCs w:val="28"/>
        </w:rPr>
      </w:pPr>
      <w:r w:rsidRPr="00D754C0">
        <w:rPr>
          <w:b/>
          <w:szCs w:val="28"/>
          <w:lang w:val="en-US"/>
        </w:rPr>
        <w:t>2.</w:t>
      </w:r>
      <w:r w:rsidR="00D754C0" w:rsidRPr="00D754C0">
        <w:rPr>
          <w:szCs w:val="28"/>
          <w:lang w:val="en-US"/>
        </w:rPr>
        <w:t xml:space="preserve"> </w:t>
      </w:r>
      <w:proofErr w:type="spellStart"/>
      <w:r w:rsidR="00D754C0" w:rsidRPr="00D754C0">
        <w:rPr>
          <w:szCs w:val="28"/>
          <w:lang w:val="en-US"/>
        </w:rPr>
        <w:t>Bondarenko</w:t>
      </w:r>
      <w:proofErr w:type="spellEnd"/>
      <w:r w:rsidR="00D754C0" w:rsidRPr="00D754C0">
        <w:rPr>
          <w:szCs w:val="28"/>
          <w:lang w:val="en-US"/>
        </w:rPr>
        <w:t xml:space="preserve"> A. Yu., </w:t>
      </w:r>
      <w:proofErr w:type="spellStart"/>
      <w:r w:rsidR="00D754C0" w:rsidRPr="00D754C0">
        <w:rPr>
          <w:szCs w:val="28"/>
          <w:lang w:val="en-US"/>
        </w:rPr>
        <w:t>Sidorov</w:t>
      </w:r>
      <w:proofErr w:type="spellEnd"/>
      <w:r w:rsidR="00D754C0" w:rsidRPr="00D754C0">
        <w:rPr>
          <w:szCs w:val="28"/>
          <w:lang w:val="en-US"/>
        </w:rPr>
        <w:t xml:space="preserve"> V. V. Methodological approach to ground-based testing of rocket and space technology designs under loads arising from transient processes // Cosmonautics and rocket engineering. </w:t>
      </w:r>
      <w:r w:rsidR="00D754C0" w:rsidRPr="00D754C0">
        <w:rPr>
          <w:szCs w:val="28"/>
        </w:rPr>
        <w:t xml:space="preserve">2016. </w:t>
      </w:r>
      <w:proofErr w:type="spellStart"/>
      <w:r w:rsidR="00D754C0" w:rsidRPr="00D754C0">
        <w:rPr>
          <w:szCs w:val="28"/>
        </w:rPr>
        <w:t>No</w:t>
      </w:r>
      <w:proofErr w:type="spellEnd"/>
      <w:r w:rsidR="00D754C0" w:rsidRPr="00D754C0">
        <w:rPr>
          <w:szCs w:val="28"/>
        </w:rPr>
        <w:t xml:space="preserve">. 3(88). </w:t>
      </w:r>
      <w:proofErr w:type="spellStart"/>
      <w:r w:rsidR="00D754C0" w:rsidRPr="00D754C0">
        <w:rPr>
          <w:szCs w:val="28"/>
        </w:rPr>
        <w:t>Pp</w:t>
      </w:r>
      <w:proofErr w:type="spellEnd"/>
      <w:r w:rsidR="00D754C0" w:rsidRPr="00D754C0">
        <w:rPr>
          <w:szCs w:val="28"/>
        </w:rPr>
        <w:t>. 77–82.</w:t>
      </w:r>
    </w:p>
    <w:p w:rsidR="00E23B21" w:rsidRPr="00FA1E0D" w:rsidRDefault="00E23B21">
      <w:pPr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67E6B"/>
    <w:rsid w:val="002116CA"/>
    <w:rsid w:val="00356D8B"/>
    <w:rsid w:val="003D4018"/>
    <w:rsid w:val="00456B3F"/>
    <w:rsid w:val="00490243"/>
    <w:rsid w:val="005A6080"/>
    <w:rsid w:val="005F2486"/>
    <w:rsid w:val="00645548"/>
    <w:rsid w:val="007061FF"/>
    <w:rsid w:val="009F6EFC"/>
    <w:rsid w:val="00A17EE9"/>
    <w:rsid w:val="00B451C3"/>
    <w:rsid w:val="00BB7F87"/>
    <w:rsid w:val="00BD5864"/>
    <w:rsid w:val="00C43CF7"/>
    <w:rsid w:val="00D754C0"/>
    <w:rsid w:val="00E23B21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D95DE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customStyle="1" w:styleId="Default">
    <w:name w:val="Default"/>
    <w:rsid w:val="0064554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2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SPM</dc:creator>
  <cp:lastModifiedBy>Заболотский Антон Сергеевич</cp:lastModifiedBy>
  <cp:revision>3</cp:revision>
  <dcterms:created xsi:type="dcterms:W3CDTF">2025-09-30T14:13:00Z</dcterms:created>
  <dcterms:modified xsi:type="dcterms:W3CDTF">2025-09-30T14:23:00Z</dcterms:modified>
</cp:coreProperties>
</file>