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74E0" w14:textId="47156385" w:rsidR="00FA1E0D" w:rsidRPr="00276BC2" w:rsidRDefault="00276BC2" w:rsidP="00FA1E0D">
      <w:pPr>
        <w:jc w:val="center"/>
        <w:rPr>
          <w:b/>
          <w:bCs/>
          <w:sz w:val="36"/>
          <w:szCs w:val="36"/>
        </w:rPr>
      </w:pPr>
      <w:r w:rsidRPr="00276BC2">
        <w:rPr>
          <w:rFonts w:ascii="Times" w:hAnsi="Times" w:cs="Times"/>
          <w:b/>
          <w:bCs/>
          <w:sz w:val="36"/>
          <w:szCs w:val="36"/>
        </w:rPr>
        <w:t>Нелокальный критерий роста трещин с концевой областью</w:t>
      </w:r>
    </w:p>
    <w:p w14:paraId="5362A671" w14:textId="77777777" w:rsidR="00FA1E0D" w:rsidRPr="00185FD2" w:rsidRDefault="00FA1E0D" w:rsidP="00FA1E0D">
      <w:pPr>
        <w:jc w:val="both"/>
        <w:rPr>
          <w:color w:val="000000"/>
          <w:szCs w:val="28"/>
        </w:rPr>
      </w:pPr>
    </w:p>
    <w:p w14:paraId="0A981AA4" w14:textId="77777777" w:rsidR="00FA1E0D" w:rsidRPr="00F006AA" w:rsidRDefault="004E6404" w:rsidP="00FA1E0D">
      <w:pPr>
        <w:jc w:val="center"/>
        <w:rPr>
          <w:sz w:val="28"/>
          <w:szCs w:val="28"/>
        </w:rPr>
      </w:pPr>
      <w:r>
        <w:rPr>
          <w:sz w:val="28"/>
          <w:szCs w:val="28"/>
        </w:rPr>
        <w:t>М.Н</w:t>
      </w:r>
      <w:r w:rsidR="00BD5864"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Перельмутер</w:t>
      </w:r>
      <w:proofErr w:type="spellEnd"/>
    </w:p>
    <w:p w14:paraId="0842B40A" w14:textId="77777777" w:rsidR="004E6404" w:rsidRPr="00F006AA" w:rsidRDefault="004E6404" w:rsidP="00FA1E0D">
      <w:pPr>
        <w:jc w:val="center"/>
        <w:rPr>
          <w:sz w:val="28"/>
          <w:szCs w:val="28"/>
        </w:rPr>
      </w:pPr>
    </w:p>
    <w:p w14:paraId="0201886D" w14:textId="77777777" w:rsidR="00FA1E0D" w:rsidRPr="004E6404" w:rsidRDefault="004E6404" w:rsidP="00FA1E0D">
      <w:pPr>
        <w:jc w:val="center"/>
        <w:rPr>
          <w:szCs w:val="28"/>
        </w:rPr>
      </w:pPr>
      <w:r w:rsidRPr="004E6404">
        <w:rPr>
          <w:bCs/>
          <w:iCs/>
        </w:rPr>
        <w:t>Институт проблем механики им. А.Ю. </w:t>
      </w:r>
      <w:proofErr w:type="spellStart"/>
      <w:r w:rsidRPr="004E6404">
        <w:rPr>
          <w:bCs/>
          <w:iCs/>
        </w:rPr>
        <w:t>Ишлинского</w:t>
      </w:r>
      <w:proofErr w:type="spellEnd"/>
      <w:r w:rsidRPr="004E6404">
        <w:rPr>
          <w:bCs/>
          <w:iCs/>
        </w:rPr>
        <w:t xml:space="preserve"> РАН</w:t>
      </w:r>
    </w:p>
    <w:p w14:paraId="0FDB7832" w14:textId="77777777" w:rsidR="00FA1E0D" w:rsidRPr="00453A88" w:rsidRDefault="00FA1E0D" w:rsidP="00FA1E0D">
      <w:pPr>
        <w:jc w:val="center"/>
        <w:rPr>
          <w:color w:val="000000"/>
          <w:szCs w:val="28"/>
        </w:rPr>
      </w:pPr>
      <w:r w:rsidRPr="002116CA">
        <w:rPr>
          <w:lang w:val="en-US"/>
        </w:rPr>
        <w:t>E</w:t>
      </w:r>
      <w:r w:rsidRPr="00453A88">
        <w:t>-</w:t>
      </w:r>
      <w:r w:rsidR="004E6404">
        <w:rPr>
          <w:lang w:val="en-US"/>
        </w:rPr>
        <w:t>mail</w:t>
      </w:r>
      <w:r w:rsidRPr="00453A88">
        <w:t>:</w:t>
      </w:r>
      <w:r w:rsidR="004E6404" w:rsidRPr="00453A88">
        <w:t xml:space="preserve"> </w:t>
      </w:r>
      <w:proofErr w:type="spellStart"/>
      <w:r w:rsidR="004E6404">
        <w:rPr>
          <w:lang w:val="en-US"/>
        </w:rPr>
        <w:t>perelm</w:t>
      </w:r>
      <w:proofErr w:type="spellEnd"/>
      <w:r w:rsidR="004E6404" w:rsidRPr="00453A88">
        <w:t>@</w:t>
      </w:r>
      <w:proofErr w:type="spellStart"/>
      <w:r w:rsidR="004E6404">
        <w:rPr>
          <w:lang w:val="en-US"/>
        </w:rPr>
        <w:t>ipmnet</w:t>
      </w:r>
      <w:proofErr w:type="spellEnd"/>
      <w:r w:rsidR="004E6404" w:rsidRPr="00453A88">
        <w:t>.</w:t>
      </w:r>
      <w:proofErr w:type="spellStart"/>
      <w:r w:rsidR="004E6404">
        <w:rPr>
          <w:lang w:val="en-US"/>
        </w:rPr>
        <w:t>ru</w:t>
      </w:r>
      <w:proofErr w:type="spellEnd"/>
    </w:p>
    <w:p w14:paraId="719ECB4A" w14:textId="7449FE5D" w:rsidR="00FA1E0D" w:rsidRPr="00453A88" w:rsidRDefault="00FA1E0D" w:rsidP="00FA1E0D">
      <w:pPr>
        <w:jc w:val="both"/>
        <w:rPr>
          <w:i/>
          <w:color w:val="000000"/>
        </w:rPr>
      </w:pPr>
    </w:p>
    <w:p w14:paraId="73E9BE68" w14:textId="77777777" w:rsidR="00356D8B" w:rsidRPr="00453A88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14:paraId="04FE0CA6" w14:textId="55B032EA" w:rsidR="00CF26E9" w:rsidRPr="000B1786" w:rsidRDefault="00276BC2" w:rsidP="00276BC2">
      <w:pPr>
        <w:ind w:firstLine="708"/>
        <w:jc w:val="both"/>
        <w:rPr>
          <w:bCs/>
          <w:iCs/>
        </w:rPr>
      </w:pPr>
      <w:r w:rsidRPr="00650468">
        <w:rPr>
          <w:bCs/>
          <w:sz w:val="28"/>
          <w:szCs w:val="28"/>
        </w:rPr>
        <w:t>Предложен нелокальный критерий квазистатического роста трещин с концевой областью</w:t>
      </w:r>
      <w:r>
        <w:rPr>
          <w:bCs/>
          <w:sz w:val="28"/>
          <w:szCs w:val="28"/>
        </w:rPr>
        <w:t xml:space="preserve">, </w:t>
      </w:r>
      <w:r w:rsidRPr="00650468">
        <w:rPr>
          <w:sz w:val="28"/>
          <w:szCs w:val="28"/>
        </w:rPr>
        <w:t>включа</w:t>
      </w:r>
      <w:r>
        <w:rPr>
          <w:sz w:val="28"/>
          <w:szCs w:val="28"/>
        </w:rPr>
        <w:t xml:space="preserve">ющий </w:t>
      </w:r>
      <w:r w:rsidRPr="00650468">
        <w:rPr>
          <w:sz w:val="28"/>
          <w:szCs w:val="28"/>
        </w:rPr>
        <w:t>два условия: 1) необходимое энергетическое условие предельного равновесия вершины трещины (равенств</w:t>
      </w:r>
      <w:r>
        <w:rPr>
          <w:sz w:val="28"/>
          <w:szCs w:val="28"/>
        </w:rPr>
        <w:t>о</w:t>
      </w:r>
      <w:r w:rsidRPr="00650468">
        <w:rPr>
          <w:sz w:val="28"/>
          <w:szCs w:val="28"/>
        </w:rPr>
        <w:t xml:space="preserve"> скоростей высвобождения энергии деформации и потребления энергии деформации связями в концевой области трещины); 2) достаточное условие предельного растяжения связи на заднем крае концевой области трещины. </w:t>
      </w:r>
      <w:r>
        <w:rPr>
          <w:sz w:val="28"/>
          <w:szCs w:val="28"/>
        </w:rPr>
        <w:t>Р</w:t>
      </w:r>
      <w:r w:rsidRPr="00650468">
        <w:rPr>
          <w:sz w:val="28"/>
          <w:szCs w:val="28"/>
        </w:rPr>
        <w:t>ассмотрены режимы квазистатического роста трещины: 1) вершина трещины продвигается и размер концевой области нарастает без разрыва связей (докритический рост); 2) размер концевой области сокращается без продвижения вершины трещины; 3) вершина трещины продвигается с одновременным разрывом связей на краю концевой области.</w:t>
      </w:r>
    </w:p>
    <w:p w14:paraId="2137E3B8" w14:textId="32A6595B" w:rsidR="00FA1E0D" w:rsidRPr="007C17B7" w:rsidRDefault="000136E6" w:rsidP="007C17B7">
      <w:pPr>
        <w:jc w:val="both"/>
        <w:rPr>
          <w:bCs/>
          <w:i/>
          <w:sz w:val="28"/>
          <w:szCs w:val="28"/>
        </w:rPr>
      </w:pPr>
      <w:r>
        <w:rPr>
          <w:b/>
          <w:i/>
          <w:sz w:val="28"/>
        </w:rPr>
        <w:tab/>
      </w:r>
      <w:r w:rsidR="00FA1E0D" w:rsidRPr="00490243">
        <w:rPr>
          <w:b/>
          <w:i/>
          <w:sz w:val="28"/>
        </w:rPr>
        <w:t>Ключевые слова</w:t>
      </w:r>
      <w:r w:rsidR="00FA1E0D" w:rsidRPr="009E16CA">
        <w:rPr>
          <w:b/>
          <w:i/>
          <w:sz w:val="28"/>
          <w:szCs w:val="28"/>
        </w:rPr>
        <w:t>:</w:t>
      </w:r>
      <w:r w:rsidR="000B1786" w:rsidRPr="000B1786">
        <w:t xml:space="preserve"> </w:t>
      </w:r>
      <w:r w:rsidR="00276BC2">
        <w:rPr>
          <w:bCs/>
          <w:i/>
          <w:sz w:val="28"/>
          <w:szCs w:val="28"/>
        </w:rPr>
        <w:t>трещина</w:t>
      </w:r>
      <w:r w:rsidR="000B1786" w:rsidRPr="000B1786">
        <w:rPr>
          <w:bCs/>
          <w:i/>
          <w:sz w:val="28"/>
          <w:szCs w:val="28"/>
        </w:rPr>
        <w:t xml:space="preserve">, </w:t>
      </w:r>
      <w:r w:rsidR="00276BC2">
        <w:rPr>
          <w:bCs/>
          <w:i/>
          <w:sz w:val="28"/>
          <w:szCs w:val="28"/>
        </w:rPr>
        <w:t>концевая область</w:t>
      </w:r>
      <w:r w:rsidR="000B1786" w:rsidRPr="000B1786">
        <w:rPr>
          <w:bCs/>
          <w:i/>
          <w:sz w:val="28"/>
          <w:szCs w:val="28"/>
        </w:rPr>
        <w:t>,</w:t>
      </w:r>
      <w:r w:rsidR="00276BC2">
        <w:rPr>
          <w:bCs/>
          <w:i/>
          <w:sz w:val="28"/>
          <w:szCs w:val="28"/>
        </w:rPr>
        <w:t xml:space="preserve"> нелокальный критерий</w:t>
      </w:r>
      <w:r w:rsidR="00490243" w:rsidRPr="009E16CA">
        <w:rPr>
          <w:i/>
          <w:sz w:val="28"/>
          <w:szCs w:val="28"/>
        </w:rPr>
        <w:t>.</w:t>
      </w:r>
    </w:p>
    <w:p w14:paraId="7827D225" w14:textId="6F9AC89F" w:rsidR="00356D8B" w:rsidRPr="00D122E9" w:rsidRDefault="000B1786" w:rsidP="00CF26E9">
      <w:pPr>
        <w:pStyle w:val="a4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 xml:space="preserve">      </w:t>
      </w:r>
      <w:r w:rsidR="00D122E9" w:rsidRPr="00D122E9">
        <w:rPr>
          <w:rFonts w:ascii="Times New Roman" w:hAnsi="Times New Roman"/>
          <w:i/>
          <w:sz w:val="28"/>
          <w:szCs w:val="28"/>
        </w:rPr>
        <w:t xml:space="preserve">Работа выполнена </w:t>
      </w:r>
      <w:r w:rsidRPr="000B1786">
        <w:rPr>
          <w:rFonts w:ascii="Times New Roman" w:hAnsi="Times New Roman"/>
          <w:i/>
          <w:sz w:val="28"/>
          <w:szCs w:val="28"/>
        </w:rPr>
        <w:t xml:space="preserve">по программе </w:t>
      </w:r>
      <w:proofErr w:type="spellStart"/>
      <w:r w:rsidRPr="000B1786">
        <w:rPr>
          <w:rFonts w:ascii="Times New Roman" w:hAnsi="Times New Roman"/>
          <w:i/>
          <w:sz w:val="28"/>
          <w:szCs w:val="28"/>
        </w:rPr>
        <w:t>госзадания</w:t>
      </w:r>
      <w:proofErr w:type="spellEnd"/>
      <w:r w:rsidR="00A85DD6">
        <w:rPr>
          <w:rFonts w:ascii="Times New Roman" w:hAnsi="Times New Roman"/>
          <w:i/>
          <w:sz w:val="28"/>
          <w:szCs w:val="28"/>
        </w:rPr>
        <w:t xml:space="preserve"> </w:t>
      </w:r>
      <w:r w:rsidR="00A85DD6" w:rsidRPr="00A85DD6">
        <w:rPr>
          <w:rFonts w:ascii="Times New Roman" w:hAnsi="Times New Roman"/>
          <w:i/>
          <w:sz w:val="28"/>
          <w:szCs w:val="28"/>
        </w:rPr>
        <w:t>FFGN-2024-0001</w:t>
      </w:r>
      <w:r w:rsidR="00A85DD6">
        <w:rPr>
          <w:rFonts w:ascii="Times New Roman" w:hAnsi="Times New Roman"/>
          <w:i/>
          <w:sz w:val="28"/>
          <w:szCs w:val="28"/>
        </w:rPr>
        <w:t>.</w:t>
      </w:r>
    </w:p>
    <w:p w14:paraId="2AB5E083" w14:textId="77777777" w:rsidR="00CF26E9" w:rsidRPr="00D122E9" w:rsidRDefault="00CF26E9" w:rsidP="00CF26E9">
      <w:pPr>
        <w:pStyle w:val="a4"/>
        <w:rPr>
          <w:rFonts w:ascii="Times New Roman" w:hAnsi="Times New Roman"/>
          <w:sz w:val="28"/>
          <w:szCs w:val="28"/>
        </w:rPr>
      </w:pPr>
    </w:p>
    <w:p w14:paraId="1E72B9DD" w14:textId="69BEC37A" w:rsidR="00FA1E0D" w:rsidRPr="00A85DD6" w:rsidRDefault="00A85DD6" w:rsidP="00390E19">
      <w:pPr>
        <w:pStyle w:val="Titelzeile"/>
        <w:spacing w:line="240" w:lineRule="auto"/>
        <w:rPr>
          <w:rStyle w:val="tlid-translation"/>
          <w:rFonts w:cs="Times New Roman"/>
          <w:color w:val="000000"/>
          <w:sz w:val="36"/>
          <w:szCs w:val="36"/>
          <w:lang w:val="en-US" w:eastAsia="ru-RU"/>
        </w:rPr>
      </w:pPr>
      <w:r w:rsidRPr="00A85DD6">
        <w:rPr>
          <w:rStyle w:val="tlid-translation"/>
          <w:rFonts w:cs="Times New Roman"/>
          <w:color w:val="000000"/>
          <w:sz w:val="36"/>
          <w:szCs w:val="36"/>
          <w:lang w:val="en-US" w:eastAsia="ru-RU"/>
        </w:rPr>
        <w:t>Nonlocal crack growth criterion with bridged zone</w:t>
      </w:r>
    </w:p>
    <w:p w14:paraId="32511692" w14:textId="77777777" w:rsidR="00FA1E0D" w:rsidRPr="00CF26E9" w:rsidRDefault="00FA1E0D" w:rsidP="00CF26E9">
      <w:pPr>
        <w:jc w:val="both"/>
        <w:rPr>
          <w:rStyle w:val="tlid-translation"/>
          <w:szCs w:val="28"/>
          <w:lang w:val="en-US"/>
        </w:rPr>
      </w:pPr>
    </w:p>
    <w:p w14:paraId="6BDBBD39" w14:textId="77777777" w:rsidR="00FA1E0D" w:rsidRPr="004E6404" w:rsidRDefault="00356D8B" w:rsidP="00FA1E0D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r w:rsidRPr="00356D8B">
        <w:rPr>
          <w:rStyle w:val="tlid-translation"/>
          <w:sz w:val="28"/>
          <w:szCs w:val="28"/>
          <w:vertAlign w:val="superscript"/>
          <w:lang w:val="en-US"/>
        </w:rPr>
        <w:t xml:space="preserve"> </w:t>
      </w:r>
      <w:r w:rsidR="00CF26E9">
        <w:rPr>
          <w:rStyle w:val="tlid-translation"/>
          <w:sz w:val="28"/>
          <w:szCs w:val="28"/>
          <w:lang w:val="en-US"/>
        </w:rPr>
        <w:t>M.N. Perelmuter</w:t>
      </w:r>
    </w:p>
    <w:p w14:paraId="67F719E8" w14:textId="77777777" w:rsidR="00356D8B" w:rsidRPr="000136E6" w:rsidRDefault="00356D8B" w:rsidP="00FA1E0D">
      <w:pPr>
        <w:ind w:firstLine="709"/>
        <w:jc w:val="center"/>
        <w:rPr>
          <w:rStyle w:val="tlid-translation"/>
          <w:lang w:val="en-US"/>
        </w:rPr>
      </w:pPr>
    </w:p>
    <w:p w14:paraId="0DA9D032" w14:textId="77777777" w:rsidR="00FA1E0D" w:rsidRPr="00CF26E9" w:rsidRDefault="00FA1E0D" w:rsidP="00FA1E0D">
      <w:pPr>
        <w:pStyle w:val="a3"/>
        <w:spacing w:before="0" w:beforeAutospacing="0" w:after="0" w:afterAutospacing="0"/>
        <w:jc w:val="center"/>
        <w:rPr>
          <w:lang w:val="en-US"/>
        </w:rPr>
      </w:pPr>
      <w:r w:rsidRPr="00CF26E9">
        <w:rPr>
          <w:vertAlign w:val="superscript"/>
          <w:lang w:val="en-US"/>
        </w:rPr>
        <w:t xml:space="preserve"> </w:t>
      </w:r>
      <w:proofErr w:type="spellStart"/>
      <w:r w:rsidR="00CF26E9" w:rsidRPr="00CF26E9">
        <w:rPr>
          <w:bCs/>
          <w:iCs/>
          <w:lang w:val="en-US"/>
        </w:rPr>
        <w:t>Ishlinsky</w:t>
      </w:r>
      <w:proofErr w:type="spellEnd"/>
      <w:r w:rsidR="00CF26E9" w:rsidRPr="00CF26E9">
        <w:rPr>
          <w:bCs/>
          <w:iCs/>
          <w:lang w:val="en-US"/>
        </w:rPr>
        <w:t xml:space="preserve"> Institute for Problems in Mechanics RAS,</w:t>
      </w:r>
      <w:r w:rsidR="00CF26E9" w:rsidRPr="00CF26E9">
        <w:rPr>
          <w:lang w:val="en-US"/>
        </w:rPr>
        <w:t xml:space="preserve"> Moscow</w:t>
      </w:r>
      <w:r w:rsidRPr="00CF26E9">
        <w:rPr>
          <w:lang w:val="en-US"/>
        </w:rPr>
        <w:t>, Russia</w:t>
      </w:r>
    </w:p>
    <w:p w14:paraId="46A4CBC1" w14:textId="77777777" w:rsidR="00FA1E0D" w:rsidRPr="004E6404" w:rsidRDefault="00CF26E9" w:rsidP="00356D8B">
      <w:pPr>
        <w:jc w:val="center"/>
        <w:rPr>
          <w:lang w:val="en-US"/>
        </w:rPr>
      </w:pPr>
      <w:r>
        <w:rPr>
          <w:lang w:val="en-US"/>
        </w:rPr>
        <w:t xml:space="preserve">E-mail </w:t>
      </w:r>
      <w:proofErr w:type="spellStart"/>
      <w:r>
        <w:rPr>
          <w:lang w:val="en-US"/>
        </w:rPr>
        <w:t>perelm@ipmnet.tu</w:t>
      </w:r>
      <w:proofErr w:type="spellEnd"/>
      <w:r w:rsidR="00356D8B" w:rsidRPr="002116CA">
        <w:rPr>
          <w:lang w:val="en-US"/>
        </w:rPr>
        <w:t>:</w:t>
      </w:r>
    </w:p>
    <w:p w14:paraId="3B2990CB" w14:textId="77777777" w:rsidR="00356D8B" w:rsidRPr="004E6404" w:rsidRDefault="00356D8B" w:rsidP="00356D8B">
      <w:pPr>
        <w:jc w:val="center"/>
        <w:rPr>
          <w:rStyle w:val="tlid-translation"/>
          <w:szCs w:val="28"/>
          <w:lang w:val="en-US"/>
        </w:rPr>
      </w:pPr>
    </w:p>
    <w:p w14:paraId="44A481E1" w14:textId="7FBF6259" w:rsidR="00CF26E9" w:rsidRDefault="00453A88" w:rsidP="00CF26E9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>
        <w:rPr>
          <w:rStyle w:val="tlid-translation"/>
          <w:b/>
          <w:sz w:val="28"/>
          <w:szCs w:val="28"/>
          <w:lang w:val="en-US"/>
        </w:rPr>
        <w:t>Annotation</w:t>
      </w:r>
    </w:p>
    <w:p w14:paraId="60B15014" w14:textId="6BB57394" w:rsidR="00A85DD6" w:rsidRPr="0009324A" w:rsidRDefault="0009324A" w:rsidP="00CF26E9">
      <w:pPr>
        <w:ind w:firstLine="709"/>
        <w:jc w:val="both"/>
        <w:rPr>
          <w:rStyle w:val="tlid-translation"/>
          <w:bCs/>
          <w:sz w:val="28"/>
          <w:szCs w:val="28"/>
          <w:lang w:val="en-US"/>
        </w:rPr>
      </w:pPr>
      <w:r w:rsidRPr="0009324A">
        <w:rPr>
          <w:rStyle w:val="tlid-translation"/>
          <w:bCs/>
          <w:sz w:val="28"/>
          <w:szCs w:val="28"/>
          <w:lang w:val="en-US"/>
        </w:rPr>
        <w:t>The nonlocal criterion for quasistatic cracks growth with bridged zone is proposed. It includes two conditions: 1) the necessary energy condition for the crack tip limit equilibrium (equality of the rates of strain energy release and strain energy consumption by bonds in the crack bridged zone); 2) the sufficient condition for the critical bond</w:t>
      </w:r>
      <w:r>
        <w:rPr>
          <w:rStyle w:val="tlid-translation"/>
          <w:bCs/>
          <w:sz w:val="28"/>
          <w:szCs w:val="28"/>
          <w:lang w:val="en-US"/>
        </w:rPr>
        <w:t>s</w:t>
      </w:r>
      <w:r w:rsidRPr="0009324A">
        <w:rPr>
          <w:rStyle w:val="tlid-translation"/>
          <w:bCs/>
          <w:sz w:val="28"/>
          <w:szCs w:val="28"/>
          <w:lang w:val="en-US"/>
        </w:rPr>
        <w:t xml:space="preserve"> extension at the crack bridged zone trailing edge. The following quasistatic crack growth regimes are considered: 1) the crack tip advances and the bridged zone length increases without bond rupture (subcritical growth); 2) the bridged zone length decreases without crack tip advancement; 3) the crack tip advances with simultaneous rupture of bonds at the bridged zone trailing edge.</w:t>
      </w:r>
    </w:p>
    <w:p w14:paraId="218E6ADF" w14:textId="4F731AD0" w:rsidR="009E16CA" w:rsidRPr="003745FA" w:rsidRDefault="009E16CA" w:rsidP="009E16CA">
      <w:pPr>
        <w:ind w:firstLine="397"/>
        <w:jc w:val="both"/>
        <w:rPr>
          <w:iCs/>
          <w:sz w:val="28"/>
          <w:szCs w:val="28"/>
          <w:lang w:val="en-US"/>
        </w:rPr>
      </w:pPr>
      <w:r w:rsidRPr="003745FA">
        <w:rPr>
          <w:b/>
          <w:bCs/>
          <w:i/>
          <w:sz w:val="28"/>
          <w:szCs w:val="28"/>
          <w:lang w:val="en-US"/>
        </w:rPr>
        <w:t>Keywords:</w:t>
      </w:r>
      <w:r w:rsidRPr="003745FA">
        <w:rPr>
          <w:iCs/>
          <w:sz w:val="28"/>
          <w:szCs w:val="28"/>
          <w:lang w:val="en-US"/>
        </w:rPr>
        <w:t xml:space="preserve"> </w:t>
      </w:r>
      <w:r w:rsidR="0009324A" w:rsidRPr="0009324A">
        <w:rPr>
          <w:i/>
          <w:sz w:val="28"/>
          <w:szCs w:val="28"/>
          <w:lang w:val="en-US"/>
        </w:rPr>
        <w:t>crack, bridged zone, nonlocal criterion</w:t>
      </w:r>
      <w:r w:rsidR="007C17B7" w:rsidRPr="003745FA">
        <w:rPr>
          <w:i/>
          <w:sz w:val="28"/>
          <w:szCs w:val="28"/>
          <w:lang w:val="en-US"/>
        </w:rPr>
        <w:t>.</w:t>
      </w:r>
    </w:p>
    <w:p w14:paraId="7EEE225B" w14:textId="77777777" w:rsidR="0009324A" w:rsidRPr="0009324A" w:rsidRDefault="000136E6" w:rsidP="0009324A">
      <w:pPr>
        <w:pStyle w:val="a4"/>
        <w:rPr>
          <w:rFonts w:ascii="Times New Roman" w:hAnsi="Times New Roman"/>
          <w:i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ab/>
      </w:r>
      <w:r w:rsidRPr="0009324A">
        <w:rPr>
          <w:rFonts w:ascii="Times New Roman" w:hAnsi="Times New Roman"/>
          <w:bCs/>
          <w:i/>
          <w:iCs/>
          <w:sz w:val="28"/>
          <w:szCs w:val="28"/>
          <w:lang w:val="en-US"/>
        </w:rPr>
        <w:t xml:space="preserve">This </w:t>
      </w:r>
      <w:r w:rsidR="007C17B7" w:rsidRPr="0009324A">
        <w:rPr>
          <w:rFonts w:ascii="Times New Roman" w:hAnsi="Times New Roman"/>
          <w:bCs/>
          <w:i/>
          <w:iCs/>
          <w:sz w:val="28"/>
          <w:szCs w:val="28"/>
          <w:lang w:val="en-US"/>
        </w:rPr>
        <w:t xml:space="preserve">work was supported by the state program assignment </w:t>
      </w:r>
      <w:r w:rsidR="0009324A" w:rsidRPr="0009324A">
        <w:rPr>
          <w:rFonts w:ascii="Times New Roman" w:hAnsi="Times New Roman"/>
          <w:i/>
          <w:sz w:val="28"/>
          <w:szCs w:val="28"/>
          <w:lang w:val="en-US"/>
        </w:rPr>
        <w:t>FFGN-2024-0001.</w:t>
      </w:r>
    </w:p>
    <w:p w14:paraId="10A9007C" w14:textId="77777777" w:rsidR="0009324A" w:rsidRPr="0009324A" w:rsidRDefault="0009324A" w:rsidP="0009324A">
      <w:pPr>
        <w:pStyle w:val="a4"/>
        <w:rPr>
          <w:rFonts w:ascii="Times New Roman" w:hAnsi="Times New Roman"/>
          <w:sz w:val="28"/>
          <w:szCs w:val="28"/>
          <w:lang w:val="en-US"/>
        </w:rPr>
      </w:pPr>
    </w:p>
    <w:p w14:paraId="218ADC13" w14:textId="3E845F9A" w:rsidR="007C17B7" w:rsidRPr="0009324A" w:rsidRDefault="007C17B7" w:rsidP="000136E6">
      <w:pPr>
        <w:jc w:val="both"/>
        <w:rPr>
          <w:bCs/>
          <w:i/>
          <w:iCs/>
          <w:sz w:val="28"/>
          <w:szCs w:val="28"/>
          <w:lang w:val="en-US"/>
        </w:rPr>
      </w:pPr>
    </w:p>
    <w:sectPr w:rsidR="007C17B7" w:rsidRPr="0009324A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1E0D"/>
    <w:rsid w:val="000136E6"/>
    <w:rsid w:val="00085293"/>
    <w:rsid w:val="0009324A"/>
    <w:rsid w:val="000B1786"/>
    <w:rsid w:val="002116CA"/>
    <w:rsid w:val="00276BC2"/>
    <w:rsid w:val="002B6294"/>
    <w:rsid w:val="00356D8B"/>
    <w:rsid w:val="003745FA"/>
    <w:rsid w:val="00390E19"/>
    <w:rsid w:val="00453A88"/>
    <w:rsid w:val="00490243"/>
    <w:rsid w:val="004B687A"/>
    <w:rsid w:val="004E6404"/>
    <w:rsid w:val="00616C0E"/>
    <w:rsid w:val="0076287A"/>
    <w:rsid w:val="007C17B7"/>
    <w:rsid w:val="009E16CA"/>
    <w:rsid w:val="00A85DD6"/>
    <w:rsid w:val="00BD5864"/>
    <w:rsid w:val="00CF26E9"/>
    <w:rsid w:val="00D122E9"/>
    <w:rsid w:val="00D600EB"/>
    <w:rsid w:val="00DC266C"/>
    <w:rsid w:val="00E23B21"/>
    <w:rsid w:val="00F006AA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B2591"/>
  <w15:docId w15:val="{53E25517-B06E-4501-A6F4-4C2FB379B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paragraph" w:styleId="a4">
    <w:name w:val="footnote text"/>
    <w:basedOn w:val="a"/>
    <w:link w:val="a5"/>
    <w:uiPriority w:val="99"/>
    <w:rsid w:val="00D600EB"/>
    <w:pPr>
      <w:jc w:val="both"/>
    </w:pPr>
    <w:rPr>
      <w:rFonts w:ascii="Calibri" w:hAnsi="Calibri"/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rsid w:val="00D600EB"/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Titelzeile">
    <w:name w:val="Titelzeile"/>
    <w:basedOn w:val="a"/>
    <w:next w:val="a"/>
    <w:rsid w:val="00390E19"/>
    <w:pPr>
      <w:spacing w:line="360" w:lineRule="auto"/>
      <w:jc w:val="center"/>
    </w:pPr>
    <w:rPr>
      <w:rFonts w:cs="Arial"/>
      <w:b/>
      <w:sz w:val="28"/>
      <w:szCs w:val="20"/>
      <w:lang w:val="en-GB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Mikhail Perelmuter</cp:lastModifiedBy>
  <cp:revision>18</cp:revision>
  <cp:lastPrinted>2022-11-20T12:01:00Z</cp:lastPrinted>
  <dcterms:created xsi:type="dcterms:W3CDTF">2020-10-30T10:18:00Z</dcterms:created>
  <dcterms:modified xsi:type="dcterms:W3CDTF">2025-10-29T12:50:00Z</dcterms:modified>
</cp:coreProperties>
</file>