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Resumen de Avance: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cambios significativos que se realizaron en esta segunda entrega de la aplicación se enfocaron en tres áreas principales: requisitos funcionales, diseños de interfaces y plan de pruebas.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primer lugar, se agregaron 21 nuevos requisitos funcionales a la aplicación, los cuales están relacionados con diferentes funcionalidades que se necesitaban para mejorar la experiencia del usuario. Estos requisitos se describieron con detalle para que los desarrolladores supieran exactamente qué debían incluir en la aplicación. Además, se agregó una descripción en los requisitos de rendimiento para asegurar que la aplicación tuviera un buen desempeño en términos de velocidad, capacidad de carga y otros aspectos importantes.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segundo lugar, se crearon 13 nuevos diseños de interfaces de alta fidelidad para la aplicación. Estos diseños permiten a los desarrolladores tener una visión clara de cómo se verá y funcionará la aplicación. También les permite realizar ajustes y mejoras en la interfaz antes del lanzamiento de la aplicación para asegurarse de que sea fácil de usar e intuitiva para los usuarios.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Por último, se elaboró un plan de pruebas para evaluar y validar la aplicación antes de su lanzamiento. Este plan de pruebas incluye objetivos específicos, preocupaciones del sistema, perfil del usuario, cuestionario para participantes potenciales, una breve descripción de las funcionalidades y mediciones de las pruebas. La evaluación de la aplicación es fundamental para asegurarse de que los requisitos funcionales se cumplan correctamente, los diseños de interfaces sean atractivos y fáciles de usar, y la aplicación funcione sin problemas.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conclusión, los cambios realizados en la segunda entrega de la aplicación son fundamentales para garantizar el éxito de la misma. Los nuevos requisitos funcionales, los diseños de interfaces y el plan de pruebas aseguran que la aplicación tenga las funcionalidades necesarias, una interfaz intuitiva y atractiva para los usuarios, y que sea evaluada de manera exhaustiva antes de su lanzamiento para asegurar que cumpla con las expectativas y necesidades del usuario final.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Prototipos:</w:t>
      </w:r>
    </w:p>
    <w:p w:rsidR="00000000" w:rsidDel="00000000" w:rsidP="00000000" w:rsidRDefault="00000000" w:rsidRPr="00000000" w14:paraId="0000000F">
      <w:pPr>
        <w:rPr/>
      </w:pPr>
      <w:r w:rsidDel="00000000" w:rsidR="00000000" w:rsidRPr="00000000">
        <w:rPr>
          <w:rtl w:val="0"/>
        </w:rPr>
        <w:t xml:space="preserve">Como se mencionó en el resumen del proyecto, se realizaron 13 diseños de interfaces de alta fidelidad para cubrir con las funcionalidades de la aplicación.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Los diseños fueron creados desde 0 en figma, y para su desarrollo se utilizaron algunas herramientas como: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Paleta de 6 colores de “Coolors”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Iconos de “feathericons”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Imagenes de una libreria publica de Figma “Free Women Illustrations (Community)”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Herramientas de diseño de Figma</w:t>
      </w:r>
    </w:p>
    <w:p w:rsidR="00000000" w:rsidDel="00000000" w:rsidP="00000000" w:rsidRDefault="00000000" w:rsidRPr="00000000" w14:paraId="00000017">
      <w:pPr>
        <w:rPr/>
      </w:pPr>
      <w:r w:rsidDel="00000000" w:rsidR="00000000" w:rsidRPr="00000000">
        <w:rPr>
          <w:rtl w:val="0"/>
        </w:rPr>
        <w:t xml:space="preserve">El link para ver los diseños creados se encuentra aquí:</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6">
        <w:r w:rsidDel="00000000" w:rsidR="00000000" w:rsidRPr="00000000">
          <w:rPr>
            <w:color w:val="1155cc"/>
            <w:u w:val="single"/>
            <w:rtl w:val="0"/>
          </w:rPr>
          <w:t xml:space="preserve">https://www.figma.com/file/qyMcNQP2yWGZdeZfwDc7DH/Her's-HCI?node-id=0%3A1&amp;t=RFeithLcUTl9yICa-1</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Reporte de participación:</w:t>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Para la organización de tareas, se realizó una división de estas mismas en partes equitativas, basándonos en el peso de estas, esfuerzo y tiempo que llevaba desarrollarlas, de tal manera, obtuvimos la siguiente tabla:</w:t>
      </w:r>
    </w:p>
    <w:p w:rsidR="00000000" w:rsidDel="00000000" w:rsidP="00000000" w:rsidRDefault="00000000" w:rsidRPr="00000000" w14:paraId="0000001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Porcentaje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Tareas realizadas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Alma Ordoñez Sanchez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Creacion de requisitos funcionales, de rendimiento, y avance del documento de ERS en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Natalí Ortega Aguilar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pruebas de usabilidad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Veronica Rivera Manzanero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Documento de avances de la segunda entrega</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Análisis del diseño en Cogtool y en Cogulator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Geovanna De la cruz Medina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Creación de los diseños de Interfaces</w:t>
            </w:r>
          </w:p>
        </w:tc>
      </w:tr>
    </w:tbl>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qyMcNQP2yWGZdeZfwDc7DH/Her's-HCI?node-id=0%3A1&amp;t=RFeithLcUTl9yIC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