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4542633F" w:rsidR="005C737B" w:rsidRDefault="005518AD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Women</w:t>
                            </w:r>
                            <w:r w:rsidR="00BD060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4542633F" w:rsidR="005C737B" w:rsidRDefault="005518AD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Women</w:t>
                      </w:r>
                      <w:r w:rsidR="00BD060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7D48883F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2F7499F4" w:rsidR="005C737B" w:rsidRPr="000A4B1E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Helena Morais</w:t>
                            </w:r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="000A4B1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20210636</w:t>
                            </w:r>
                          </w:p>
                          <w:p w14:paraId="589A59F2" w14:textId="09C0E6CB" w:rsidR="00683388" w:rsidRPr="000A4B1E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Vera Canhoto, </w:t>
                            </w:r>
                            <w:proofErr w:type="spellStart"/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="009256E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20210659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2F7499F4" w:rsidR="005C737B" w:rsidRPr="000A4B1E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Helena Morais</w:t>
                      </w:r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="000A4B1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20210636</w:t>
                      </w:r>
                    </w:p>
                    <w:p w14:paraId="589A59F2" w14:textId="09C0E6CB" w:rsidR="00683388" w:rsidRPr="000A4B1E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Vera Canhoto, </w:t>
                      </w:r>
                      <w:proofErr w:type="spellStart"/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="009256E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20210659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0546510A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december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0546510A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december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68F6C77B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AA16F3">
        <w:rPr>
          <w:lang w:val="en-US"/>
        </w:rPr>
        <w:t>classes</w:t>
      </w:r>
      <w:r w:rsidR="009B66D3">
        <w:rPr>
          <w:lang w:val="en-US"/>
        </w:rPr>
        <w:t xml:space="preserve">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="00AA16F3">
        <w:rPr>
          <w:lang w:val="en-US"/>
        </w:rPr>
        <w:t>Women</w:t>
      </w:r>
      <w:r w:rsidRPr="00671AFA">
        <w:rPr>
          <w:lang w:val="en-US"/>
        </w:rPr>
        <w:t>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2A1FDE31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</w:t>
            </w:r>
            <w:r w:rsidR="00AA16F3">
              <w:rPr>
                <w:lang w:val="en-US"/>
              </w:rPr>
              <w:t>lass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CB9999C" w:rsidR="00714753" w:rsidRDefault="00671AFA" w:rsidP="00DA036F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>Portugal. Therefore, our products have a stable tax of 23%. Our warehouse is also located in Lisbon, which allows us to deliver our products on time</w:t>
      </w:r>
      <w:r w:rsidR="00DA036F" w:rsidRPr="00671AFA">
        <w:rPr>
          <w:lang w:val="en-US"/>
        </w:rPr>
        <w:t xml:space="preserve">. </w:t>
      </w:r>
      <w:r w:rsidR="00DA036F">
        <w:rPr>
          <w:lang w:val="en-US"/>
        </w:rPr>
        <w:t xml:space="preserve">Our </w:t>
      </w:r>
      <w:r w:rsidR="005D24BD">
        <w:rPr>
          <w:lang w:val="en-US"/>
        </w:rPr>
        <w:t>short-term</w:t>
      </w:r>
      <w:r w:rsidR="00DA036F">
        <w:rPr>
          <w:lang w:val="en-US"/>
        </w:rPr>
        <w:t xml:space="preserve"> goal</w:t>
      </w:r>
      <w:r w:rsidR="00DA036F" w:rsidRPr="00671AFA">
        <w:rPr>
          <w:lang w:val="en-US"/>
        </w:rPr>
        <w:t xml:space="preserve"> is to expand to other markets and thus open more </w:t>
      </w:r>
      <w:r w:rsidR="00D80A55">
        <w:rPr>
          <w:lang w:val="en-US"/>
        </w:rPr>
        <w:t>companies</w:t>
      </w:r>
      <w:r w:rsidR="00DA036F" w:rsidRPr="00671AFA">
        <w:rPr>
          <w:lang w:val="en-US"/>
        </w:rPr>
        <w:t xml:space="preserve"> and obtain more profit</w:t>
      </w:r>
      <w:r w:rsidRPr="00671AFA">
        <w:rPr>
          <w:lang w:val="en-US"/>
        </w:rPr>
        <w:t>.</w:t>
      </w:r>
    </w:p>
    <w:p w14:paraId="63FF0741" w14:textId="32F48962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In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Query 2 we define a “best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” as a </w:t>
      </w:r>
      <w:r w:rsidR="005F5F75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with the highest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rating from clients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15949FC6" w:rsidR="005E0540" w:rsidRDefault="009345A8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447335" wp14:editId="01C22BB3">
            <wp:simplePos x="0" y="0"/>
            <wp:positionH relativeFrom="column">
              <wp:posOffset>-89941</wp:posOffset>
            </wp:positionH>
            <wp:positionV relativeFrom="paragraph">
              <wp:posOffset>434573</wp:posOffset>
            </wp:positionV>
            <wp:extent cx="6172054" cy="7668000"/>
            <wp:effectExtent l="0" t="0" r="635" b="3175"/>
            <wp:wrapTight wrapText="bothSides">
              <wp:wrapPolygon edited="0">
                <wp:start x="0" y="0"/>
                <wp:lineTo x="0" y="21573"/>
                <wp:lineTo x="21558" y="21573"/>
                <wp:lineTo x="2155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9"/>
                    <a:stretch/>
                  </pic:blipFill>
                  <pic:spPr bwMode="auto">
                    <a:xfrm>
                      <a:off x="0" y="0"/>
                      <a:ext cx="6172054" cy="76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13A4F483" w:rsidR="007C1BB3" w:rsidRDefault="007C1BB3" w:rsidP="003234E5">
      <w:pPr>
        <w:jc w:val="center"/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E698" w14:textId="77777777" w:rsidR="002A0EAF" w:rsidRDefault="002A0EAF">
      <w:pPr>
        <w:spacing w:after="0" w:line="240" w:lineRule="auto"/>
      </w:pPr>
      <w:r>
        <w:separator/>
      </w:r>
    </w:p>
  </w:endnote>
  <w:endnote w:type="continuationSeparator" w:id="0">
    <w:p w14:paraId="06C5294C" w14:textId="77777777" w:rsidR="002A0EAF" w:rsidRDefault="002A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F854" w14:textId="77777777" w:rsidR="002A0EAF" w:rsidRDefault="002A0EAF">
      <w:pPr>
        <w:rPr>
          <w:sz w:val="12"/>
        </w:rPr>
      </w:pPr>
      <w:r>
        <w:separator/>
      </w:r>
    </w:p>
  </w:footnote>
  <w:footnote w:type="continuationSeparator" w:id="0">
    <w:p w14:paraId="42B39415" w14:textId="77777777" w:rsidR="002A0EAF" w:rsidRDefault="002A0EAF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36655"/>
    <w:rsid w:val="000621B6"/>
    <w:rsid w:val="0009121B"/>
    <w:rsid w:val="000A4B1E"/>
    <w:rsid w:val="000C57B2"/>
    <w:rsid w:val="000E0B66"/>
    <w:rsid w:val="00105C67"/>
    <w:rsid w:val="00115DD1"/>
    <w:rsid w:val="00177A87"/>
    <w:rsid w:val="001D3138"/>
    <w:rsid w:val="002419B5"/>
    <w:rsid w:val="00266640"/>
    <w:rsid w:val="002A0EAF"/>
    <w:rsid w:val="002A7049"/>
    <w:rsid w:val="003234E5"/>
    <w:rsid w:val="00345F81"/>
    <w:rsid w:val="00356EB2"/>
    <w:rsid w:val="00363213"/>
    <w:rsid w:val="00375003"/>
    <w:rsid w:val="0038440C"/>
    <w:rsid w:val="003B17DB"/>
    <w:rsid w:val="0040116F"/>
    <w:rsid w:val="00451E09"/>
    <w:rsid w:val="00457B60"/>
    <w:rsid w:val="00470310"/>
    <w:rsid w:val="00482A74"/>
    <w:rsid w:val="004870D7"/>
    <w:rsid w:val="004B7140"/>
    <w:rsid w:val="004E07EA"/>
    <w:rsid w:val="0052078C"/>
    <w:rsid w:val="005518AD"/>
    <w:rsid w:val="0055280C"/>
    <w:rsid w:val="005C737B"/>
    <w:rsid w:val="005D24BD"/>
    <w:rsid w:val="005E0540"/>
    <w:rsid w:val="005F5F75"/>
    <w:rsid w:val="00602F54"/>
    <w:rsid w:val="00637015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8B0516"/>
    <w:rsid w:val="009256EE"/>
    <w:rsid w:val="009345A8"/>
    <w:rsid w:val="009A6AAE"/>
    <w:rsid w:val="009B66D3"/>
    <w:rsid w:val="00A24F19"/>
    <w:rsid w:val="00A2794E"/>
    <w:rsid w:val="00A60DFA"/>
    <w:rsid w:val="00A64915"/>
    <w:rsid w:val="00A64B95"/>
    <w:rsid w:val="00A714C1"/>
    <w:rsid w:val="00A80AE5"/>
    <w:rsid w:val="00AA16F3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CA2E11"/>
    <w:rsid w:val="00CF6F15"/>
    <w:rsid w:val="00D80A55"/>
    <w:rsid w:val="00DA036F"/>
    <w:rsid w:val="00E1731F"/>
    <w:rsid w:val="00E47228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A0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36F"/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A4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138</cp:revision>
  <dcterms:created xsi:type="dcterms:W3CDTF">2019-10-23T18:27:00Z</dcterms:created>
  <dcterms:modified xsi:type="dcterms:W3CDTF">2021-12-10T15:34:00Z</dcterms:modified>
  <dc:language>en-US</dc:language>
</cp:coreProperties>
</file>