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/>
        <w:t xml:space="preserve">Город пятнадцати минут</w:t>
      </w:r>
    </w:p>
    <w:p>
      <w:pPr>
        <w:jc w:val="center"/>
      </w:pPr>
      <w:r>
        <w:rPr>
          <w:i/>
          <w:color w:val="595959"/>
        </w:rPr>
        <w:t xml:space="preserve">Конспект к лекции</w:t>
      </w:r>
    </w:p>
    <w:p>
      <w:pPr>
        <w:pStyle w:val="Heading1"/>
      </w:pPr>
      <w:r>
        <w:rPr/>
        <w:t xml:space="preserve">Идея</w:t>
      </w:r>
    </w:p>
    <w:p>
      <w:pPr>
        <w:jc w:val="both"/>
        <w:ind w:firstLine="567"/>
      </w:pPr>
      <w:r>
        <w:rPr/>
        <w:t xml:space="preserve">Город пятнадцати минут — это город, где всё нужное для жизни находится в пятнадцати минутах пешком или на велосипеде: работа, школа, магазины, врач, парк и место для встреч. Идея не новая, но после 2020 года её заново открыли мэры многих городов.</w:t>
      </w:r>
    </w:p>
    <w:p>
      <w:pPr>
        <w:pStyle w:val="Heading1"/>
      </w:pPr>
      <w:r>
        <w:rPr/>
        <w:t xml:space="preserve">Шесть нужд горожанина</w:t>
      </w:r>
    </w:p>
    <w:p>
      <w:pPr>
        <w:pStyle w:val="ListParagraph"/>
        <w:numPr>
          <w:ilvl w:val="0"/>
          <w:numId w:val="1"/>
        </w:numPr>
      </w:pPr>
      <w:r>
        <w:rPr/>
        <w:t xml:space="preserve">Жить</w:t>
      </w:r>
    </w:p>
    <w:p>
      <w:pPr>
        <w:pStyle w:val="ListParagraph"/>
        <w:numPr>
          <w:ilvl w:val="0"/>
          <w:numId w:val="1"/>
        </w:numPr>
      </w:pPr>
      <w:r>
        <w:rPr/>
        <w:t xml:space="preserve">Работать</w:t>
      </w:r>
    </w:p>
    <w:p>
      <w:pPr>
        <w:pStyle w:val="ListParagraph"/>
        <w:numPr>
          <w:ilvl w:val="0"/>
          <w:numId w:val="1"/>
        </w:numPr>
      </w:pPr>
      <w:r>
        <w:rPr/>
        <w:t xml:space="preserve">Покупать</w:t>
      </w:r>
    </w:p>
    <w:p>
      <w:pPr>
        <w:pStyle w:val="ListParagraph"/>
        <w:numPr>
          <w:ilvl w:val="0"/>
          <w:numId w:val="1"/>
        </w:numPr>
      </w:pPr>
      <w:r>
        <w:rPr/>
        <w:t xml:space="preserve">Лечиться</w:t>
      </w:r>
    </w:p>
    <w:p>
      <w:pPr>
        <w:pStyle w:val="ListParagraph"/>
        <w:numPr>
          <w:ilvl w:val="0"/>
          <w:numId w:val="1"/>
        </w:numPr>
      </w:pPr>
      <w:r>
        <w:rPr/>
        <w:t xml:space="preserve">Учиться</w:t>
      </w:r>
    </w:p>
    <w:p>
      <w:pPr>
        <w:pStyle w:val="ListParagraph"/>
        <w:numPr>
          <w:ilvl w:val="0"/>
          <w:numId w:val="1"/>
        </w:numPr>
      </w:pPr>
      <w:r>
        <w:rPr/>
        <w:t xml:space="preserve">Отдыхать</w:t>
      </w:r>
    </w:p>
    <w:p>
      <w:pPr>
        <w:pStyle w:val="Heading1"/>
      </w:pPr>
      <w:r>
        <w:rPr/>
        <w:t xml:space="preserve">Примеры</w:t>
      </w:r>
    </w:p>
    <w:tbl>
      <w:tblPr>
        <w:tblStyle w:val="TableGrid"/>
      </w:tblPr>
      <w:tblGrid>
        <w:gridCol w:w="2600"/>
        <w:gridCol w:w="6400"/>
      </w:tblGrid>
      <w:tr>
        <w:tc>
          <w:tcPr>
            <w:shd w:fill="D9E2F3"/>
          </w:tcPr>
          <w:p>
            <w:pPr/>
            <w:r>
              <w:rPr>
                <w:b/>
              </w:rPr>
              <w:t xml:space="preserve">Город</w:t>
            </w:r>
          </w:p>
        </w:tc>
        <w:tc>
          <w:tcPr>
            <w:shd w:fill="D9E2F3"/>
          </w:tcPr>
          <w:p>
            <w:pPr/>
            <w:r>
              <w:rPr>
                <w:b/>
              </w:rPr>
              <w:t xml:space="preserve">Что сделано</w:t>
            </w:r>
          </w:p>
        </w:tc>
      </w:tr>
      <w:tr>
        <w:tc>
          <w:p>
            <w:pPr/>
            <w:r>
              <w:rPr/>
              <w:t xml:space="preserve">Париж</w:t>
            </w:r>
          </w:p>
        </w:tc>
        <w:tc>
          <w:p>
            <w:pPr/>
            <w:r>
              <w:rPr/>
              <w:t xml:space="preserve">Школьные дворы открыты по выходным, улицы у школ — без машин</w:t>
            </w:r>
          </w:p>
        </w:tc>
      </w:tr>
      <w:tr>
        <w:tc>
          <w:p>
            <w:pPr/>
            <w:r>
              <w:rPr/>
              <w:t xml:space="preserve">Барселона</w:t>
            </w:r>
          </w:p>
        </w:tc>
        <w:tc>
          <w:p>
            <w:pPr/>
            <w:r>
              <w:rPr/>
              <w:t xml:space="preserve">Суперкварталы: девять кварталов, внутри — пешеходы и зелень</w:t>
            </w:r>
          </w:p>
        </w:tc>
      </w:tr>
      <w:tr>
        <w:tc>
          <w:p>
            <w:pPr/>
            <w:r>
              <w:rPr/>
              <w:t xml:space="preserve">Мельбурн</w:t>
            </w:r>
          </w:p>
        </w:tc>
        <w:tc>
          <w:p>
            <w:pPr/>
            <w:r>
              <w:rPr/>
              <w:t xml:space="preserve">План «20-минутных районов» до 2050 года</w:t>
            </w:r>
          </w:p>
        </w:tc>
      </w:tr>
    </w:tbl>
    <w:p>
      <w:r>
        <w:br w:type="page"/>
      </w:r>
    </w:p>
    <w:p>
      <w:pPr>
        <w:pStyle w:val="Heading1"/>
      </w:pPr>
      <w:r>
        <w:rPr/>
        <w:t xml:space="preserve">Вопросы для обсуждения</w:t>
      </w:r>
    </w:p>
    <w:p>
      <w:pPr>
        <w:pStyle w:val="ListParagraph"/>
        <w:numPr>
          <w:ilvl w:val="0"/>
          <w:numId w:val="2"/>
        </w:numPr>
      </w:pPr>
      <w:r>
        <w:rPr/>
        <w:t xml:space="preserve">Что в вашем районе есть в пятнадцати минутах?</w:t>
      </w:r>
    </w:p>
    <w:p>
      <w:pPr>
        <w:pStyle w:val="ListParagraph"/>
        <w:numPr>
          <w:ilvl w:val="0"/>
          <w:numId w:val="2"/>
        </w:numPr>
      </w:pPr>
      <w:r>
        <w:rPr/>
        <w:t xml:space="preserve">Чего не хватает больше всего?</w:t>
      </w:r>
    </w:p>
    <w:p>
      <w:pPr>
        <w:pStyle w:val="ListParagraph"/>
        <w:numPr>
          <w:ilvl w:val="0"/>
          <w:numId w:val="2"/>
        </w:numPr>
      </w:pPr>
      <w:r>
        <w:rPr/>
        <w:t xml:space="preserve">Что можно сделать без больших денег?</w:t>
      </w:r>
    </w:p>
    <w:sectPr>
      <w:pgSz w:w="11906" w:h="16838"/>
      <w:pgMar w:top="1134" w:right="850" w:bottom="1134" w:left="1701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 w:hanging="360"/>
      </w:pPr>
    </w:lvl>
  </w:abstractNum>
  <w:abstractNum w:abstractNumId="1">
    <w:lvl w:ilvl="0">
      <w:numFmt w:val="bullet"/>
      <w:lvlText w:val="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Title">
    <w:basedOn w:val="Normal"/>
    <w:pPr>
      <w:spacing w:after="80"/>
    </w:pPr>
    <w:rPr>
      <w:rFonts w:ascii="Cambria" w:hAnsi="Cambria"/>
      <w:sz w:val="52"/>
    </w:rPr>
  </w:style>
  <w:style w:type="paragraph" w:styleId="Heading1">
    <w:basedOn w:val="Normal"/>
    <w:pPr>
      <w:spacing w:before="360" w:after="80"/>
    </w:pPr>
    <w:rPr>
      <w:b/>
      <w:color w:val="2F5496"/>
      <w:sz w:val="32"/>
    </w:rPr>
  </w:style>
  <w:style w:type="paragraph" w:styleId="ListParagraph">
    <w:basedOn w:val="Normal"/>
    <w:pPr>
      <w:ind w:left="720"/>
      <w:contextualSpacing/>
    </w:pPr>
  </w:style>
  <w:style w:type="table" w:styleId="TableGrid"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