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E4C" w:rsidRDefault="00B16FC3" w:rsidP="00DE2DFA">
      <w:pPr>
        <w:ind w:firstLine="708"/>
        <w:jc w:val="center"/>
        <w:rPr>
          <w:sz w:val="36"/>
        </w:rPr>
      </w:pPr>
      <w:r w:rsidRPr="00DE2DFA">
        <w:rPr>
          <w:sz w:val="36"/>
        </w:rPr>
        <w:t>Modelo com Instruções para Preparação de Trabalhos para TEMA1</w:t>
      </w:r>
    </w:p>
    <w:p w:rsidR="00DE2DFA" w:rsidRPr="00DE2DFA" w:rsidRDefault="00DE2DFA" w:rsidP="00DE2DFA">
      <w:pPr>
        <w:ind w:firstLine="708"/>
        <w:jc w:val="center"/>
        <w:rPr>
          <w:sz w:val="36"/>
        </w:rPr>
      </w:pPr>
    </w:p>
    <w:p w:rsidR="00B16FC3" w:rsidRDefault="00B16FC3" w:rsidP="00DE2DFA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A. SRI RANGA</w:t>
      </w:r>
      <w:r w:rsidR="00DE2DFA" w:rsidRPr="00DE2DFA">
        <w:rPr>
          <w:rFonts w:ascii="SFRM1000" w:hAnsi="SFRM1000" w:cs="SFRM1000"/>
          <w:sz w:val="20"/>
          <w:szCs w:val="20"/>
          <w:vertAlign w:val="superscript"/>
        </w:rPr>
        <w:t>2</w:t>
      </w:r>
      <w:r>
        <w:rPr>
          <w:rFonts w:ascii="SFRM1000" w:hAnsi="SFRM1000" w:cs="SFRM1000"/>
          <w:sz w:val="20"/>
          <w:szCs w:val="20"/>
        </w:rPr>
        <w:t xml:space="preserve">, Departamento de Ciências de Computação e Estatística, </w:t>
      </w:r>
      <w:proofErr w:type="gramStart"/>
      <w:r w:rsidR="00DE2DFA">
        <w:rPr>
          <w:rFonts w:ascii="SFRM1000" w:hAnsi="SFRM1000" w:cs="SFRM1000"/>
          <w:sz w:val="20"/>
          <w:szCs w:val="20"/>
        </w:rPr>
        <w:t xml:space="preserve">IBILCE,   </w:t>
      </w:r>
      <w:proofErr w:type="gramEnd"/>
      <w:r w:rsidR="00DE2DFA">
        <w:rPr>
          <w:rFonts w:ascii="SFRM1000" w:hAnsi="SFRM1000" w:cs="SFRM1000"/>
          <w:sz w:val="20"/>
          <w:szCs w:val="20"/>
        </w:rPr>
        <w:t xml:space="preserve">             </w:t>
      </w:r>
      <w:r>
        <w:rPr>
          <w:rFonts w:ascii="SFRM1000" w:hAnsi="SFRM1000" w:cs="SFRM1000"/>
          <w:sz w:val="20"/>
          <w:szCs w:val="20"/>
        </w:rPr>
        <w:t>UNESP - Univ Estadual Paulista, 15054-000 São José do Rio Preto, SP, Brasil</w:t>
      </w:r>
    </w:p>
    <w:p w:rsidR="00DE2DFA" w:rsidRDefault="00DE2DFA" w:rsidP="00DE2DFA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:rsidR="00DE2DFA" w:rsidRDefault="00DE2DFA" w:rsidP="00DE2DFA">
      <w:pPr>
        <w:jc w:val="both"/>
      </w:pPr>
      <w:r>
        <w:t>E. WENDLAND</w:t>
      </w:r>
      <w:r w:rsidRPr="00DE2DFA">
        <w:rPr>
          <w:vertAlign w:val="superscript"/>
        </w:rPr>
        <w:t>3</w:t>
      </w:r>
      <w:r>
        <w:t xml:space="preserve">, Departamento de Hidráulica e Saneamento, EESC - </w:t>
      </w:r>
      <w:proofErr w:type="gramStart"/>
      <w:r>
        <w:t xml:space="preserve">USP,   </w:t>
      </w:r>
      <w:proofErr w:type="gramEnd"/>
      <w:r>
        <w:t xml:space="preserve">                                                Av. Trabalhador Sancarlense, 400, 13566-590 São Carlos, SP, Brasil.</w:t>
      </w:r>
    </w:p>
    <w:p w:rsidR="00DE2DFA" w:rsidRDefault="00DE2DFA" w:rsidP="00DE2DFA">
      <w:pPr>
        <w:jc w:val="both"/>
      </w:pPr>
    </w:p>
    <w:p w:rsidR="00DE2DFA" w:rsidRDefault="00DE2DFA" w:rsidP="00DE2DFA">
      <w:pPr>
        <w:ind w:left="708"/>
        <w:jc w:val="both"/>
      </w:pPr>
      <w:r w:rsidRPr="00DE2DFA">
        <w:rPr>
          <w:b/>
        </w:rPr>
        <w:t>Resumo.</w:t>
      </w:r>
      <w:r>
        <w:t xml:space="preserve"> Este documento, preparado usando-se a classe especial TEMA.cls, fornece algumas informações importantes para os autores que pretendem submeter trabalhos (artigos) completos para a série TEMA.</w:t>
      </w:r>
    </w:p>
    <w:p w:rsidR="00DE2DFA" w:rsidRDefault="00DE2DFA" w:rsidP="00DE2DFA">
      <w:pPr>
        <w:ind w:left="708"/>
      </w:pPr>
      <w:r w:rsidRPr="00DE2DFA">
        <w:rPr>
          <w:b/>
        </w:rPr>
        <w:t>Palavras-chave</w:t>
      </w:r>
      <w:r>
        <w:t>. Palavra-chave 1, palavra-chave 2, palavra-chave 3.</w:t>
      </w:r>
    </w:p>
    <w:p w:rsidR="00DE2DFA" w:rsidRPr="009C440B" w:rsidRDefault="00DE2DFA" w:rsidP="00DE2DFA">
      <w:pPr>
        <w:ind w:left="708"/>
      </w:pPr>
    </w:p>
    <w:p w:rsidR="00DE2DFA" w:rsidRPr="009C440B" w:rsidRDefault="00DE2DFA" w:rsidP="0001308C">
      <w:pPr>
        <w:pStyle w:val="Prrafodelista"/>
        <w:numPr>
          <w:ilvl w:val="0"/>
          <w:numId w:val="1"/>
        </w:numPr>
        <w:jc w:val="both"/>
        <w:rPr>
          <w:b/>
        </w:rPr>
      </w:pPr>
      <w:r w:rsidRPr="009C440B">
        <w:rPr>
          <w:b/>
          <w:sz w:val="28"/>
        </w:rPr>
        <w:t>Introdução</w:t>
      </w:r>
    </w:p>
    <w:p w:rsidR="009C440B" w:rsidRDefault="00DE2DFA" w:rsidP="0001308C">
      <w:pPr>
        <w:jc w:val="both"/>
      </w:pPr>
      <w:r>
        <w:t xml:space="preserve">     A série TEMA - Tendências em Matemática Aplicada e Computacional, com</w:t>
      </w:r>
      <w:r w:rsidR="009C440B">
        <w:t xml:space="preserve"> </w:t>
      </w:r>
      <w:r>
        <w:t>título em inglês “Trends in Applied and Computational Mathematics”, tem como</w:t>
      </w:r>
      <w:r w:rsidR="009C440B">
        <w:t xml:space="preserve"> </w:t>
      </w:r>
      <w:r>
        <w:t>objetivo principal publicar trabalhos completos originais, de no máximo 12 páginas,</w:t>
      </w:r>
      <w:r w:rsidR="009C440B">
        <w:t xml:space="preserve"> </w:t>
      </w:r>
      <w:r>
        <w:t xml:space="preserve">de </w:t>
      </w:r>
      <w:proofErr w:type="gramStart"/>
      <w:r>
        <w:t>todas as</w:t>
      </w:r>
      <w:proofErr w:type="gramEnd"/>
      <w:r>
        <w:t xml:space="preserve"> áreas de Matemática Aplicada e Computacional. Excepcionalmente,</w:t>
      </w:r>
      <w:r w:rsidR="009C440B">
        <w:t xml:space="preserve"> </w:t>
      </w:r>
      <w:r>
        <w:t>a critério do Comitê Editorial, poderão ser publicados trabalhos com mais de 12</w:t>
      </w:r>
      <w:r w:rsidR="009C440B">
        <w:t xml:space="preserve"> </w:t>
      </w:r>
      <w:r>
        <w:t>páginas. Um volume, composto de até três números, é publicado anualmente. Uma</w:t>
      </w:r>
      <w:r w:rsidR="009C440B">
        <w:t xml:space="preserve"> </w:t>
      </w:r>
      <w:r>
        <w:t>das finalidades da série é servir como veículo para publicação de números especiais</w:t>
      </w:r>
      <w:r w:rsidR="009C440B">
        <w:t xml:space="preserve"> </w:t>
      </w:r>
      <w:r>
        <w:t>contendo artigos sobre temas de interesse dos associados da SBMAC, vinculados ou</w:t>
      </w:r>
      <w:r w:rsidR="009C440B">
        <w:t xml:space="preserve"> </w:t>
      </w:r>
      <w:r>
        <w:t>não a eventuais reuniões científicas organizadas ou co-organizadas pela sociedade.</w:t>
      </w:r>
      <w:r w:rsidR="009C440B">
        <w:t xml:space="preserve">  </w:t>
      </w:r>
    </w:p>
    <w:p w:rsidR="00DE2DFA" w:rsidRDefault="00DE2DFA" w:rsidP="0001308C">
      <w:pPr>
        <w:jc w:val="both"/>
      </w:pPr>
      <w:r>
        <w:t>A cada dois anos pelo menos um número é dedicado à publicação de trabalhos</w:t>
      </w:r>
      <w:r w:rsidR="009C440B">
        <w:t xml:space="preserve"> </w:t>
      </w:r>
      <w:r>
        <w:t>completos selecionados a partir daqueles apresentados nos CNMAC.</w:t>
      </w:r>
    </w:p>
    <w:p w:rsidR="009C440B" w:rsidRPr="009C440B" w:rsidRDefault="009C440B" w:rsidP="0001308C">
      <w:pPr>
        <w:jc w:val="both"/>
        <w:rPr>
          <w:sz w:val="20"/>
        </w:rPr>
      </w:pPr>
    </w:p>
    <w:p w:rsidR="00DE2DFA" w:rsidRPr="009C440B" w:rsidRDefault="009C440B" w:rsidP="0001308C">
      <w:pPr>
        <w:jc w:val="both"/>
        <w:rPr>
          <w:b/>
          <w:sz w:val="24"/>
        </w:rPr>
      </w:pPr>
      <w:r w:rsidRPr="009C440B">
        <w:rPr>
          <w:b/>
          <w:sz w:val="24"/>
        </w:rPr>
        <w:t>1.</w:t>
      </w:r>
      <w:proofErr w:type="gramStart"/>
      <w:r w:rsidRPr="009C440B">
        <w:rPr>
          <w:b/>
          <w:sz w:val="24"/>
        </w:rPr>
        <w:t>1</w:t>
      </w:r>
      <w:r>
        <w:rPr>
          <w:b/>
          <w:sz w:val="24"/>
        </w:rPr>
        <w:t>..</w:t>
      </w:r>
      <w:proofErr w:type="gramEnd"/>
      <w:r w:rsidRPr="009C440B">
        <w:rPr>
          <w:b/>
          <w:sz w:val="24"/>
        </w:rPr>
        <w:t xml:space="preserve"> </w:t>
      </w:r>
      <w:r w:rsidR="00DE2DFA" w:rsidRPr="009C440B">
        <w:rPr>
          <w:b/>
          <w:sz w:val="24"/>
        </w:rPr>
        <w:t xml:space="preserve"> </w:t>
      </w:r>
      <w:proofErr w:type="gramStart"/>
      <w:r w:rsidR="00DE2DFA" w:rsidRPr="009C440B">
        <w:rPr>
          <w:b/>
          <w:sz w:val="24"/>
        </w:rPr>
        <w:t>Fluxo</w:t>
      </w:r>
      <w:proofErr w:type="gramEnd"/>
      <w:r w:rsidR="00DE2DFA" w:rsidRPr="009C440B">
        <w:rPr>
          <w:b/>
          <w:sz w:val="24"/>
        </w:rPr>
        <w:t xml:space="preserve"> contínuo da série TEMA e Seleta do CNMAC</w:t>
      </w:r>
    </w:p>
    <w:p w:rsidR="00DE2DFA" w:rsidRDefault="009C440B" w:rsidP="0001308C">
      <w:pPr>
        <w:jc w:val="both"/>
      </w:pPr>
      <w:r>
        <w:t xml:space="preserve">    </w:t>
      </w:r>
      <w:r w:rsidR="00DE2DFA">
        <w:t xml:space="preserve">Os autores que manifestarem interesse em submeter </w:t>
      </w:r>
      <w:r w:rsidR="00DE2DFA" w:rsidRPr="009C440B">
        <w:rPr>
          <w:b/>
        </w:rPr>
        <w:t>trabalhos completos</w:t>
      </w:r>
      <w:r>
        <w:t xml:space="preserve"> </w:t>
      </w:r>
      <w:r w:rsidR="00DE2DFA">
        <w:t>à publicação na série TEMA em qualquer época do ano, deverão prepará-los em</w:t>
      </w:r>
      <w:r>
        <w:t xml:space="preserve"> </w:t>
      </w:r>
      <w:r w:rsidR="00DE2DFA" w:rsidRPr="009C440B">
        <w:rPr>
          <w:b/>
        </w:rPr>
        <w:t>LaTeX2e</w:t>
      </w:r>
      <w:r w:rsidR="00DE2DFA">
        <w:t xml:space="preserve">. A </w:t>
      </w:r>
      <w:proofErr w:type="gramStart"/>
      <w:r w:rsidR="00DE2DFA">
        <w:t xml:space="preserve">versão </w:t>
      </w:r>
      <w:r w:rsidR="00DE2DFA" w:rsidRPr="009C440B">
        <w:rPr>
          <w:b/>
        </w:rPr>
        <w:t>.tex</w:t>
      </w:r>
      <w:proofErr w:type="gramEnd"/>
      <w:r w:rsidR="00DE2DFA">
        <w:t xml:space="preserve"> e a versão </w:t>
      </w:r>
      <w:r w:rsidR="00DE2DFA" w:rsidRPr="009C440B">
        <w:rPr>
          <w:b/>
        </w:rPr>
        <w:t>.pdf</w:t>
      </w:r>
      <w:r w:rsidR="00DE2DFA">
        <w:t xml:space="preserve"> de cada trabalho a ser considerado para</w:t>
      </w:r>
      <w:r>
        <w:t xml:space="preserve"> </w:t>
      </w:r>
      <w:r w:rsidR="00DE2DFA">
        <w:t>publicação, juntamente com os arquivos de figuras (se houver), deverão ser submetidas</w:t>
      </w:r>
      <w:r>
        <w:t xml:space="preserve"> </w:t>
      </w:r>
      <w:r w:rsidR="00DE2DFA">
        <w:t xml:space="preserve">de forma eletrônica no endereço </w:t>
      </w:r>
      <w:r w:rsidR="00DE2DFA" w:rsidRPr="009C440B">
        <w:rPr>
          <w:b/>
        </w:rPr>
        <w:t>http://www.sbmac.org.br/tema/seer</w:t>
      </w:r>
      <w:r w:rsidR="00DE2DFA">
        <w:t xml:space="preserve"> .</w:t>
      </w:r>
    </w:p>
    <w:p w:rsidR="00DE2DFA" w:rsidRDefault="009C440B" w:rsidP="0001308C">
      <w:pPr>
        <w:jc w:val="both"/>
      </w:pPr>
      <w:r>
        <w:t>________________________________</w:t>
      </w:r>
    </w:p>
    <w:p w:rsidR="00DE2DFA" w:rsidRPr="009C440B" w:rsidRDefault="00DE2DFA" w:rsidP="0001308C">
      <w:pPr>
        <w:jc w:val="both"/>
        <w:rPr>
          <w:sz w:val="18"/>
        </w:rPr>
      </w:pPr>
      <w:r w:rsidRPr="009C440B">
        <w:rPr>
          <w:sz w:val="18"/>
          <w:vertAlign w:val="superscript"/>
        </w:rPr>
        <w:t>1</w:t>
      </w:r>
      <w:r w:rsidRPr="009C440B">
        <w:rPr>
          <w:sz w:val="18"/>
        </w:rPr>
        <w:t>Agradecimentos por auxílio; Trabalho apresentado no Congresso... (se for o caso).</w:t>
      </w:r>
      <w:r w:rsidR="009C440B">
        <w:rPr>
          <w:sz w:val="18"/>
        </w:rPr>
        <w:t xml:space="preserve">                           </w:t>
      </w:r>
      <w:r w:rsidR="009C440B" w:rsidRPr="009C440B">
        <w:rPr>
          <w:sz w:val="18"/>
        </w:rPr>
        <w:t xml:space="preserve"> </w:t>
      </w:r>
      <w:r w:rsidRPr="009C440B">
        <w:rPr>
          <w:sz w:val="18"/>
          <w:vertAlign w:val="superscript"/>
        </w:rPr>
        <w:t>2</w:t>
      </w:r>
      <w:r w:rsidRPr="009C440B">
        <w:rPr>
          <w:sz w:val="18"/>
        </w:rPr>
        <w:t>ranga@ibilce.unesp.br; convidado em 1999 para atuar como editor chefe da série TEMA.</w:t>
      </w:r>
      <w:r w:rsidR="009C440B" w:rsidRPr="009C440B">
        <w:rPr>
          <w:sz w:val="18"/>
        </w:rPr>
        <w:t xml:space="preserve">          </w:t>
      </w:r>
      <w:r w:rsidR="009C440B">
        <w:rPr>
          <w:sz w:val="18"/>
        </w:rPr>
        <w:t xml:space="preserve">                  </w:t>
      </w:r>
      <w:r w:rsidR="009C440B" w:rsidRPr="009C440B">
        <w:rPr>
          <w:sz w:val="18"/>
        </w:rPr>
        <w:t xml:space="preserve">   </w:t>
      </w:r>
      <w:r w:rsidRPr="009C440B">
        <w:rPr>
          <w:sz w:val="18"/>
          <w:vertAlign w:val="superscript"/>
        </w:rPr>
        <w:t>3</w:t>
      </w:r>
      <w:r w:rsidRPr="009C440B">
        <w:rPr>
          <w:sz w:val="18"/>
        </w:rPr>
        <w:t>ew@sc.usp.br; convidado em 2010 para atuar como editor chefe da série TEMA.</w:t>
      </w:r>
    </w:p>
    <w:p w:rsidR="00DE2DFA" w:rsidRDefault="00DE2DFA" w:rsidP="0001308C">
      <w:pPr>
        <w:jc w:val="both"/>
      </w:pPr>
    </w:p>
    <w:p w:rsidR="00DE2DFA" w:rsidRDefault="009C440B" w:rsidP="0001308C">
      <w:pPr>
        <w:jc w:val="both"/>
      </w:pPr>
      <w:r>
        <w:lastRenderedPageBreak/>
        <w:t xml:space="preserve">     </w:t>
      </w:r>
      <w:r w:rsidR="00DE2DFA">
        <w:t>Os autores que, ao submeterem resumos ao CNMAC, manifestarem interesse</w:t>
      </w:r>
      <w:r>
        <w:t xml:space="preserve"> </w:t>
      </w:r>
      <w:r w:rsidR="00DE2DFA">
        <w:t>em submeter seus trabalhos completos à publicação na Seleta do CNMAC,</w:t>
      </w:r>
      <w:r>
        <w:t xml:space="preserve"> </w:t>
      </w:r>
      <w:r w:rsidR="00DE2DFA">
        <w:t xml:space="preserve">deverão prepará-los em </w:t>
      </w:r>
      <w:r w:rsidR="00DE2DFA" w:rsidRPr="009C440B">
        <w:rPr>
          <w:b/>
        </w:rPr>
        <w:t>LaTeX2e</w:t>
      </w:r>
      <w:r w:rsidR="00DE2DFA">
        <w:t xml:space="preserve">. A </w:t>
      </w:r>
      <w:proofErr w:type="gramStart"/>
      <w:r w:rsidR="00DE2DFA">
        <w:t>versão .tex</w:t>
      </w:r>
      <w:proofErr w:type="gramEnd"/>
      <w:r w:rsidR="00DE2DFA">
        <w:t xml:space="preserve"> e a versão .pdf de cada trabalho</w:t>
      </w:r>
      <w:r>
        <w:t xml:space="preserve"> </w:t>
      </w:r>
      <w:r w:rsidR="00DE2DFA">
        <w:t>a ser considerado para publicação, juntamente com os arquivos de figuras</w:t>
      </w:r>
      <w:r>
        <w:t xml:space="preserve"> </w:t>
      </w:r>
      <w:r w:rsidR="00DE2DFA">
        <w:t>(se houver), também deverão ser submetidas de forma eletrônica no endereço</w:t>
      </w:r>
      <w:r>
        <w:t xml:space="preserve"> </w:t>
      </w:r>
      <w:r w:rsidR="00DE2DFA" w:rsidRPr="009C440B">
        <w:rPr>
          <w:b/>
        </w:rPr>
        <w:t>http://www.sbmac.org.br/tema/seer</w:t>
      </w:r>
      <w:r w:rsidR="00DE2DFA">
        <w:t xml:space="preserve"> .</w:t>
      </w:r>
    </w:p>
    <w:p w:rsidR="00DE2DFA" w:rsidRDefault="009C440B" w:rsidP="0001308C">
      <w:pPr>
        <w:jc w:val="both"/>
      </w:pPr>
      <w:r>
        <w:t xml:space="preserve">     </w:t>
      </w:r>
      <w:r w:rsidR="00DE2DFA">
        <w:t>O prazo final para o encaminhamento dos trabalhos pode ser encontrado na</w:t>
      </w:r>
      <w:r>
        <w:t xml:space="preserve"> </w:t>
      </w:r>
      <w:r w:rsidR="00DE2DFA">
        <w:t xml:space="preserve">página: </w:t>
      </w:r>
      <w:proofErr w:type="gramStart"/>
      <w:r w:rsidR="00DE2DFA" w:rsidRPr="009C440B">
        <w:rPr>
          <w:b/>
        </w:rPr>
        <w:t>http://www.sbmac.org.br/tema</w:t>
      </w:r>
      <w:r w:rsidR="00DE2DFA">
        <w:t xml:space="preserve"> .</w:t>
      </w:r>
      <w:proofErr w:type="gramEnd"/>
    </w:p>
    <w:p w:rsidR="00DE2DFA" w:rsidRDefault="009C440B" w:rsidP="0001308C">
      <w:pPr>
        <w:jc w:val="both"/>
      </w:pPr>
      <w:r>
        <w:t xml:space="preserve">    </w:t>
      </w:r>
      <w:r w:rsidR="00DE2DFA">
        <w:t>Os trabalhos submetidos serão avaliados por consultores ad hoc e, os selecionados,</w:t>
      </w:r>
      <w:r>
        <w:t xml:space="preserve"> </w:t>
      </w:r>
      <w:r w:rsidR="00DE2DFA">
        <w:t>serão publicados como número especial da TEMA.</w:t>
      </w:r>
    </w:p>
    <w:p w:rsidR="00DE2DFA" w:rsidRDefault="009C440B" w:rsidP="0001308C">
      <w:pPr>
        <w:jc w:val="both"/>
      </w:pPr>
      <w:r>
        <w:t xml:space="preserve">    </w:t>
      </w:r>
      <w:r w:rsidR="00DE2DFA">
        <w:t>Devido a grande demanda para publicação, o número máximo de páginas para</w:t>
      </w:r>
      <w:r>
        <w:t xml:space="preserve"> </w:t>
      </w:r>
      <w:r w:rsidR="00DE2DFA">
        <w:t xml:space="preserve">trabalhos está fixado em </w:t>
      </w:r>
      <w:r w:rsidR="00DE2DFA" w:rsidRPr="0007589C">
        <w:rPr>
          <w:b/>
        </w:rPr>
        <w:t>12</w:t>
      </w:r>
      <w:r w:rsidR="00DE2DFA">
        <w:t>.</w:t>
      </w:r>
    </w:p>
    <w:p w:rsidR="00DE2DFA" w:rsidRDefault="0007589C" w:rsidP="0001308C">
      <w:pPr>
        <w:jc w:val="both"/>
      </w:pPr>
      <w:r>
        <w:t xml:space="preserve">    </w:t>
      </w:r>
      <w:r w:rsidR="00DE2DFA">
        <w:t xml:space="preserve">Para ambos os casos, os autores, no lugar de </w:t>
      </w:r>
      <w:r w:rsidR="00DE2DFA" w:rsidRPr="0007589C">
        <w:rPr>
          <w:b/>
        </w:rPr>
        <w:t xml:space="preserve">\documentclass{article}, </w:t>
      </w:r>
      <w:r w:rsidR="00DE2DFA">
        <w:t>deverão</w:t>
      </w:r>
      <w:r>
        <w:t xml:space="preserve"> </w:t>
      </w:r>
      <w:r w:rsidR="00DE2DFA">
        <w:t xml:space="preserve">usar o comando </w:t>
      </w:r>
      <w:r w:rsidR="00DE2DFA" w:rsidRPr="0007589C">
        <w:rPr>
          <w:b/>
        </w:rPr>
        <w:t>\documentclass{TEMA},</w:t>
      </w:r>
      <w:r w:rsidR="00DE2DFA">
        <w:t xml:space="preserve"> o “class file” TEMA.cls deve estar</w:t>
      </w:r>
      <w:r>
        <w:t xml:space="preserve"> </w:t>
      </w:r>
      <w:r w:rsidR="00DE2DFA">
        <w:t>no mesmo diretório no momento da compilação e pode ser obtido (“downloaded”),</w:t>
      </w:r>
      <w:r>
        <w:t xml:space="preserve"> </w:t>
      </w:r>
      <w:r w:rsidR="00DE2DFA">
        <w:t xml:space="preserve">via internet, no mesmo endereço eletrônico </w:t>
      </w:r>
      <w:proofErr w:type="gramStart"/>
      <w:r w:rsidR="00DE2DFA" w:rsidRPr="0007589C">
        <w:rPr>
          <w:b/>
        </w:rPr>
        <w:t>http://www.sbmac.org.br/tema</w:t>
      </w:r>
      <w:r w:rsidR="00DE2DFA">
        <w:t xml:space="preserve"> .</w:t>
      </w:r>
      <w:proofErr w:type="gramEnd"/>
    </w:p>
    <w:p w:rsidR="00DE2DFA" w:rsidRDefault="0007589C" w:rsidP="0001308C">
      <w:pPr>
        <w:jc w:val="both"/>
      </w:pPr>
      <w:r>
        <w:t xml:space="preserve">   </w:t>
      </w:r>
      <w:r w:rsidR="00DE2DFA">
        <w:t xml:space="preserve">O “class file” </w:t>
      </w:r>
      <w:r w:rsidR="00DE2DFA" w:rsidRPr="0007589C">
        <w:rPr>
          <w:i/>
        </w:rPr>
        <w:t>TEMA.cls</w:t>
      </w:r>
      <w:r w:rsidR="00DE2DFA">
        <w:t xml:space="preserve"> foi criado para que todos os trabalhos enviados para</w:t>
      </w:r>
      <w:r>
        <w:t xml:space="preserve"> </w:t>
      </w:r>
      <w:r w:rsidR="00DE2DFA">
        <w:t>publicação em TEMA sejam padronizados. Assim, todos os trabalhos terão tamanho</w:t>
      </w:r>
      <w:r>
        <w:t xml:space="preserve"> </w:t>
      </w:r>
      <w:r w:rsidR="00DE2DFA">
        <w:t xml:space="preserve">de fonte </w:t>
      </w:r>
      <w:r w:rsidR="00DE2DFA" w:rsidRPr="0007589C">
        <w:rPr>
          <w:b/>
        </w:rPr>
        <w:t>10pt</w:t>
      </w:r>
      <w:r w:rsidR="00DE2DFA">
        <w:t xml:space="preserve"> e área de impressão: </w:t>
      </w:r>
      <w:r w:rsidR="00DE2DFA" w:rsidRPr="0007589C">
        <w:rPr>
          <w:b/>
        </w:rPr>
        <w:t>19.0cm</w:t>
      </w:r>
      <w:r w:rsidR="00DE2DFA">
        <w:t xml:space="preserve"> por </w:t>
      </w:r>
      <w:r w:rsidR="00DE2DFA" w:rsidRPr="0007589C">
        <w:rPr>
          <w:b/>
        </w:rPr>
        <w:t>12.7cm</w:t>
      </w:r>
      <w:r w:rsidR="00DE2DFA">
        <w:t>.</w:t>
      </w:r>
    </w:p>
    <w:p w:rsidR="00DE2DFA" w:rsidRDefault="0007589C" w:rsidP="0001308C">
      <w:pPr>
        <w:jc w:val="both"/>
      </w:pPr>
      <w:r>
        <w:t xml:space="preserve">   </w:t>
      </w:r>
      <w:r w:rsidR="00DE2DFA">
        <w:t xml:space="preserve">Por motivo de padronização, a linha seguinte a </w:t>
      </w:r>
      <w:r w:rsidR="00DE2DFA" w:rsidRPr="0007589C">
        <w:rPr>
          <w:b/>
        </w:rPr>
        <w:t>\documentclass</w:t>
      </w:r>
      <w:r w:rsidRPr="0007589C">
        <w:rPr>
          <w:b/>
        </w:rPr>
        <w:t xml:space="preserve"> </w:t>
      </w:r>
      <w:r w:rsidR="00DE2DFA" w:rsidRPr="0007589C">
        <w:rPr>
          <w:b/>
        </w:rPr>
        <w:t>{TEMA}</w:t>
      </w:r>
      <w:r w:rsidR="00DE2DFA">
        <w:t xml:space="preserve"> deve ser </w:t>
      </w:r>
      <w:r w:rsidR="00DE2DFA" w:rsidRPr="0007589C">
        <w:rPr>
          <w:b/>
        </w:rPr>
        <w:t>\usepackage[brazil]{babel}</w:t>
      </w:r>
      <w:r w:rsidR="00DE2DFA">
        <w:t xml:space="preserve"> para os trabalhos escritos em</w:t>
      </w:r>
      <w:r>
        <w:t xml:space="preserve"> </w:t>
      </w:r>
      <w:r w:rsidR="00DE2DFA">
        <w:t xml:space="preserve">português e </w:t>
      </w:r>
      <w:r w:rsidR="00DE2DFA" w:rsidRPr="0007589C">
        <w:rPr>
          <w:b/>
        </w:rPr>
        <w:t>\usepackage[english]{babel}</w:t>
      </w:r>
      <w:r w:rsidR="00DE2DFA">
        <w:t xml:space="preserve"> para os trabalhos escritos em inglês.</w:t>
      </w:r>
    </w:p>
    <w:p w:rsidR="00DE2DFA" w:rsidRDefault="0007589C" w:rsidP="0001308C">
      <w:pPr>
        <w:jc w:val="both"/>
      </w:pPr>
      <w:r>
        <w:t xml:space="preserve">    </w:t>
      </w:r>
      <w:r w:rsidR="00DE2DFA">
        <w:t>Endereço para correpondência:</w:t>
      </w:r>
    </w:p>
    <w:p w:rsidR="00DE2DFA" w:rsidRDefault="00DE2DFA" w:rsidP="0001308C">
      <w:pPr>
        <w:spacing w:after="0" w:line="240" w:lineRule="auto"/>
        <w:ind w:left="57" w:firstLine="709"/>
        <w:jc w:val="both"/>
      </w:pPr>
      <w:r>
        <w:t>TEMA – Tend. Mat. Apl. Comput.</w:t>
      </w:r>
    </w:p>
    <w:p w:rsidR="00DE2DFA" w:rsidRDefault="00DE2DFA" w:rsidP="0001308C">
      <w:pPr>
        <w:spacing w:after="0" w:line="240" w:lineRule="auto"/>
        <w:ind w:left="57" w:firstLine="709"/>
        <w:jc w:val="both"/>
      </w:pPr>
      <w:r>
        <w:t>SBMAC</w:t>
      </w:r>
    </w:p>
    <w:p w:rsidR="00DE2DFA" w:rsidRDefault="00DE2DFA" w:rsidP="0001308C">
      <w:pPr>
        <w:spacing w:after="0" w:line="240" w:lineRule="auto"/>
        <w:ind w:left="57" w:firstLine="709"/>
        <w:jc w:val="both"/>
      </w:pPr>
      <w:r>
        <w:t>a/c Prof. Dr. Edson Wendland</w:t>
      </w:r>
    </w:p>
    <w:p w:rsidR="00DE2DFA" w:rsidRDefault="00DE2DFA" w:rsidP="0001308C">
      <w:pPr>
        <w:spacing w:after="0" w:line="240" w:lineRule="auto"/>
        <w:ind w:left="57" w:firstLine="709"/>
        <w:jc w:val="both"/>
      </w:pPr>
      <w:r>
        <w:t>Caixa Postal 668</w:t>
      </w:r>
    </w:p>
    <w:p w:rsidR="00DE2DFA" w:rsidRDefault="00DE2DFA" w:rsidP="0001308C">
      <w:pPr>
        <w:spacing w:after="0" w:line="240" w:lineRule="auto"/>
        <w:ind w:left="57" w:firstLine="709"/>
        <w:jc w:val="both"/>
      </w:pPr>
      <w:r>
        <w:t>13560-970 São Carlos, SP.</w:t>
      </w:r>
    </w:p>
    <w:p w:rsidR="00DE2DFA" w:rsidRDefault="00DE2DFA" w:rsidP="0001308C">
      <w:pPr>
        <w:spacing w:after="0" w:line="240" w:lineRule="auto"/>
        <w:ind w:left="57" w:firstLine="709"/>
        <w:jc w:val="both"/>
      </w:pPr>
      <w:r>
        <w:t>e-mail: sbmac@sbmac.org.br.</w:t>
      </w:r>
    </w:p>
    <w:p w:rsidR="0007589C" w:rsidRDefault="0007589C" w:rsidP="0001308C">
      <w:pPr>
        <w:spacing w:after="0" w:line="240" w:lineRule="auto"/>
        <w:ind w:left="57" w:firstLine="709"/>
        <w:jc w:val="both"/>
      </w:pPr>
    </w:p>
    <w:p w:rsidR="0007589C" w:rsidRDefault="0007589C" w:rsidP="0001308C">
      <w:pPr>
        <w:spacing w:after="0" w:line="240" w:lineRule="auto"/>
        <w:ind w:left="57" w:firstLine="709"/>
        <w:jc w:val="both"/>
      </w:pPr>
    </w:p>
    <w:p w:rsidR="00DE2DFA" w:rsidRDefault="00DE2DFA" w:rsidP="0001308C">
      <w:pPr>
        <w:jc w:val="both"/>
        <w:rPr>
          <w:b/>
          <w:sz w:val="24"/>
        </w:rPr>
      </w:pPr>
      <w:r w:rsidRPr="0007589C">
        <w:rPr>
          <w:b/>
          <w:sz w:val="24"/>
        </w:rPr>
        <w:t>2.. Página Inicial do Trabalho</w:t>
      </w:r>
    </w:p>
    <w:p w:rsidR="00DE2DFA" w:rsidRDefault="0007589C" w:rsidP="0001308C">
      <w:pPr>
        <w:jc w:val="both"/>
      </w:pPr>
      <w:r>
        <w:t xml:space="preserve">     </w:t>
      </w:r>
      <w:r w:rsidR="00DE2DFA">
        <w:t>A primeira página do trabalho deve conter o título do trabalho, nomes e endereços</w:t>
      </w:r>
      <w:r>
        <w:t xml:space="preserve"> </w:t>
      </w:r>
      <w:r w:rsidR="00DE2DFA">
        <w:t>dos autores e resumo para trabalhos escritos em português (abstract para os</w:t>
      </w:r>
      <w:r>
        <w:t xml:space="preserve"> </w:t>
      </w:r>
      <w:r w:rsidR="00DE2DFA">
        <w:t>escritos em inglês). Gostaríamos que nos trabalhos escritos em português (inglês)</w:t>
      </w:r>
      <w:r>
        <w:t xml:space="preserve"> </w:t>
      </w:r>
      <w:r w:rsidR="00DE2DFA">
        <w:t>seja incluído, ao final do texto, antes das referências, um abstract em inglês (resumo</w:t>
      </w:r>
      <w:r>
        <w:t xml:space="preserve"> </w:t>
      </w:r>
      <w:r w:rsidR="00DE2DFA">
        <w:t>em português). Como exemplo, ilustramos como construir a primeira página</w:t>
      </w:r>
      <w:r>
        <w:t xml:space="preserve"> </w:t>
      </w:r>
      <w:r w:rsidR="00DE2DFA">
        <w:t>deste documento.</w:t>
      </w:r>
    </w:p>
    <w:p w:rsidR="00DE2DFA" w:rsidRDefault="0007589C" w:rsidP="0001308C">
      <w:pPr>
        <w:jc w:val="both"/>
      </w:pPr>
      <w:r>
        <w:t xml:space="preserve">    </w:t>
      </w:r>
      <w:r w:rsidR="00DE2DFA">
        <w:t xml:space="preserve">Após o comando </w:t>
      </w:r>
      <w:r w:rsidR="00DE2DFA" w:rsidRPr="0007589C">
        <w:rPr>
          <w:b/>
        </w:rPr>
        <w:t>\begin{document}</w:t>
      </w:r>
      <w:r w:rsidR="00DE2DFA">
        <w:t xml:space="preserve"> inserir as seguintes instruções</w:t>
      </w:r>
    </w:p>
    <w:p w:rsidR="00DE2DFA" w:rsidRPr="00932821" w:rsidRDefault="00DE2DFA" w:rsidP="0001308C">
      <w:pPr>
        <w:jc w:val="both"/>
      </w:pPr>
      <w:r w:rsidRPr="00932821">
        <w:t>\title</w:t>
      </w:r>
    </w:p>
    <w:p w:rsidR="0007589C" w:rsidRPr="00932821" w:rsidRDefault="0007589C" w:rsidP="0001308C">
      <w:pPr>
        <w:jc w:val="both"/>
      </w:pPr>
      <w:r w:rsidRPr="00932821">
        <w:t xml:space="preserve">    </w:t>
      </w:r>
      <w:r w:rsidR="00DE2DFA" w:rsidRPr="00932821">
        <w:t>{Instruções para Preparação de Trabalhos \\ para</w:t>
      </w:r>
      <w:r w:rsidRPr="00932821">
        <w:t xml:space="preserve"> </w:t>
      </w:r>
    </w:p>
    <w:p w:rsidR="00DE2DFA" w:rsidRPr="00932821" w:rsidRDefault="0007589C" w:rsidP="0001308C">
      <w:pPr>
        <w:jc w:val="both"/>
      </w:pPr>
      <w:r w:rsidRPr="00932821">
        <w:t xml:space="preserve">     </w:t>
      </w:r>
      <w:r w:rsidR="00DE2DFA" w:rsidRPr="00932821">
        <w:t>TEMA\</w:t>
      </w:r>
      <w:proofErr w:type="gramStart"/>
      <w:r w:rsidR="00DE2DFA" w:rsidRPr="00932821">
        <w:t>thanks{</w:t>
      </w:r>
      <w:proofErr w:type="gramEnd"/>
      <w:r w:rsidR="00DE2DFA" w:rsidRPr="00932821">
        <w:t>Agradecimentos por auxílio.} }</w:t>
      </w:r>
    </w:p>
    <w:p w:rsidR="00DE2DFA" w:rsidRPr="00932821" w:rsidRDefault="00DE2DFA" w:rsidP="0001308C">
      <w:pPr>
        <w:jc w:val="both"/>
        <w:rPr>
          <w:b/>
        </w:rPr>
      </w:pPr>
    </w:p>
    <w:p w:rsidR="00DE2DFA" w:rsidRPr="00932821" w:rsidRDefault="00DE2DFA" w:rsidP="0001308C">
      <w:pPr>
        <w:spacing w:after="0"/>
        <w:jc w:val="both"/>
      </w:pPr>
      <w:r w:rsidRPr="00932821">
        <w:lastRenderedPageBreak/>
        <w:t>\author</w:t>
      </w:r>
    </w:p>
    <w:p w:rsidR="00DE2DFA" w:rsidRPr="00932821" w:rsidRDefault="0007589C" w:rsidP="0001308C">
      <w:pPr>
        <w:spacing w:after="0"/>
        <w:jc w:val="both"/>
      </w:pPr>
      <w:r w:rsidRPr="00932821">
        <w:t xml:space="preserve">     </w:t>
      </w:r>
      <w:r w:rsidR="00DE2DFA" w:rsidRPr="00932821">
        <w:t>{A. SRI RANGA%</w:t>
      </w:r>
    </w:p>
    <w:p w:rsidR="00DE2DFA" w:rsidRPr="00932821" w:rsidRDefault="0007589C" w:rsidP="0001308C">
      <w:pPr>
        <w:spacing w:after="0"/>
        <w:jc w:val="both"/>
      </w:pPr>
      <w:r w:rsidRPr="00932821">
        <w:t xml:space="preserve">          </w:t>
      </w:r>
      <w:r w:rsidR="00DE2DFA" w:rsidRPr="00932821">
        <w:t>\thanks{ranga@ibilce.unesp.br; convidado em 1999 para</w:t>
      </w:r>
      <w:r w:rsidRPr="00932821">
        <w:t xml:space="preserve"> </w:t>
      </w:r>
    </w:p>
    <w:p w:rsidR="00DE2DFA" w:rsidRPr="00932821" w:rsidRDefault="0007589C" w:rsidP="0001308C">
      <w:pPr>
        <w:spacing w:after="0"/>
        <w:jc w:val="both"/>
      </w:pPr>
      <w:r w:rsidRPr="00932821">
        <w:t xml:space="preserve">           </w:t>
      </w:r>
      <w:r w:rsidR="00DE2DFA" w:rsidRPr="00932821">
        <w:t>atuar como editor chefe da série TEMA. }\„</w:t>
      </w:r>
    </w:p>
    <w:p w:rsidR="00DE2DFA" w:rsidRPr="00932821" w:rsidRDefault="0007589C" w:rsidP="0001308C">
      <w:pPr>
        <w:spacing w:after="0"/>
        <w:jc w:val="both"/>
      </w:pPr>
      <w:r w:rsidRPr="00932821">
        <w:t xml:space="preserve">      </w:t>
      </w:r>
      <w:r w:rsidR="00DE2DFA" w:rsidRPr="00932821">
        <w:t>Departamento de Ciências de Computação e</w:t>
      </w:r>
      <w:r w:rsidRPr="00932821">
        <w:t xml:space="preserve"> </w:t>
      </w:r>
    </w:p>
    <w:p w:rsidR="00DE2DFA" w:rsidRPr="00932821" w:rsidRDefault="0007589C" w:rsidP="0001308C">
      <w:pPr>
        <w:spacing w:after="0"/>
        <w:jc w:val="both"/>
      </w:pPr>
      <w:r w:rsidRPr="00932821">
        <w:t xml:space="preserve">      </w:t>
      </w:r>
      <w:r w:rsidR="00DE2DFA" w:rsidRPr="00932821">
        <w:t>Estatística, IBILCE, UNESP,</w:t>
      </w:r>
    </w:p>
    <w:p w:rsidR="00DE2DFA" w:rsidRPr="00932821" w:rsidRDefault="0007589C" w:rsidP="0001308C">
      <w:pPr>
        <w:spacing w:after="0"/>
        <w:jc w:val="both"/>
      </w:pPr>
      <w:r w:rsidRPr="00932821">
        <w:t xml:space="preserve">     </w:t>
      </w:r>
      <w:r w:rsidR="00DE2DFA" w:rsidRPr="00932821">
        <w:t>15054-000 São José do Rio Preto, SP, Brasil</w:t>
      </w:r>
      <w:proofErr w:type="gramStart"/>
      <w:r w:rsidR="00DE2DFA" w:rsidRPr="00932821">
        <w:t>. }</w:t>
      </w:r>
      <w:proofErr w:type="gramEnd"/>
    </w:p>
    <w:p w:rsidR="00DE2DFA" w:rsidRPr="00932821" w:rsidRDefault="00DE2DFA" w:rsidP="0001308C">
      <w:pPr>
        <w:spacing w:after="0"/>
        <w:jc w:val="both"/>
      </w:pPr>
      <w:r w:rsidRPr="00932821">
        <w:t>\criartitulo</w:t>
      </w:r>
    </w:p>
    <w:p w:rsidR="00DE2DFA" w:rsidRPr="00932821" w:rsidRDefault="00DE2DFA" w:rsidP="0001308C">
      <w:pPr>
        <w:spacing w:after="0"/>
        <w:jc w:val="both"/>
      </w:pPr>
      <w:r w:rsidRPr="00932821">
        <w:t>\runningheads</w:t>
      </w:r>
    </w:p>
    <w:p w:rsidR="00DE2DFA" w:rsidRPr="00932821" w:rsidRDefault="00DE2DFA" w:rsidP="0001308C">
      <w:pPr>
        <w:spacing w:after="0"/>
        <w:jc w:val="both"/>
      </w:pPr>
      <w:r w:rsidRPr="00932821">
        <w:t>{Sri Ranga} {Instruções para Preparação de Trabalhos}</w:t>
      </w:r>
    </w:p>
    <w:p w:rsidR="00DE2DFA" w:rsidRPr="00932821" w:rsidRDefault="00DE2DFA" w:rsidP="0001308C">
      <w:pPr>
        <w:spacing w:after="0"/>
        <w:jc w:val="both"/>
      </w:pPr>
      <w:r w:rsidRPr="00932821">
        <w:t>\begin{abstract}</w:t>
      </w:r>
    </w:p>
    <w:p w:rsidR="00DE2DFA" w:rsidRPr="00932821" w:rsidRDefault="0007589C" w:rsidP="0001308C">
      <w:pPr>
        <w:spacing w:after="0"/>
        <w:ind w:left="708"/>
        <w:jc w:val="both"/>
      </w:pPr>
      <w:r w:rsidRPr="00932821">
        <w:t xml:space="preserve"> </w:t>
      </w:r>
      <w:r w:rsidR="00DE2DFA" w:rsidRPr="00932821">
        <w:t>{\bf Resumo}. Este documento, preparado usando-se a</w:t>
      </w:r>
      <w:r w:rsidRPr="00932821">
        <w:t xml:space="preserve"> </w:t>
      </w:r>
      <w:r w:rsidR="00DE2DFA" w:rsidRPr="00932821">
        <w:t xml:space="preserve">classe especial {\em TEMA}, fornece </w:t>
      </w:r>
      <w:proofErr w:type="gramStart"/>
      <w:r w:rsidRPr="00932821">
        <w:t xml:space="preserve">algunas  </w:t>
      </w:r>
      <w:r w:rsidR="00DE2DFA" w:rsidRPr="00932821">
        <w:t>informações</w:t>
      </w:r>
      <w:proofErr w:type="gramEnd"/>
      <w:r w:rsidR="00DE2DFA" w:rsidRPr="00932821">
        <w:t xml:space="preserve"> importantes para os autores que pretendem</w:t>
      </w:r>
      <w:r w:rsidRPr="00932821">
        <w:t xml:space="preserve"> </w:t>
      </w:r>
      <w:r w:rsidR="00DE2DFA" w:rsidRPr="00932821">
        <w:t>submeter trabalhos (artigos) completos para a série TEMA.</w:t>
      </w:r>
    </w:p>
    <w:p w:rsidR="00DE2DFA" w:rsidRPr="00932821" w:rsidRDefault="00DE2DFA" w:rsidP="0001308C">
      <w:pPr>
        <w:spacing w:after="0"/>
        <w:ind w:firstLine="708"/>
        <w:jc w:val="both"/>
      </w:pPr>
      <w:r w:rsidRPr="00932821">
        <w:t>{\bf Palavras-chave}. Palavra-chave 1, palavra-chave 2.</w:t>
      </w:r>
    </w:p>
    <w:p w:rsidR="00DE2DFA" w:rsidRPr="00932821" w:rsidRDefault="00DE2DFA" w:rsidP="0001308C">
      <w:pPr>
        <w:spacing w:after="0"/>
        <w:jc w:val="both"/>
      </w:pPr>
      <w:r w:rsidRPr="00932821">
        <w:t>\end{abstract}</w:t>
      </w:r>
    </w:p>
    <w:p w:rsidR="0007589C" w:rsidRDefault="0007589C" w:rsidP="0001308C">
      <w:pPr>
        <w:jc w:val="both"/>
      </w:pPr>
    </w:p>
    <w:p w:rsidR="00DE2DFA" w:rsidRDefault="0007589C" w:rsidP="0001308C">
      <w:pPr>
        <w:jc w:val="both"/>
      </w:pPr>
      <w:r>
        <w:t xml:space="preserve">     </w:t>
      </w:r>
      <w:r w:rsidR="00DE2DFA">
        <w:t xml:space="preserve">Nos trabalhos em inglês, substituir </w:t>
      </w:r>
      <w:r w:rsidR="00DE2DFA" w:rsidRPr="0007589C">
        <w:rPr>
          <w:b/>
        </w:rPr>
        <w:t xml:space="preserve">{\bf Resumo} </w:t>
      </w:r>
      <w:r w:rsidR="00DE2DFA">
        <w:t xml:space="preserve">por </w:t>
      </w:r>
      <w:r w:rsidR="00DE2DFA" w:rsidRPr="0007589C">
        <w:rPr>
          <w:b/>
        </w:rPr>
        <w:t>{\bf Abstract}</w:t>
      </w:r>
      <w:r w:rsidR="00DE2DFA">
        <w:t xml:space="preserve"> e</w:t>
      </w:r>
      <w:r>
        <w:t xml:space="preserve"> </w:t>
      </w:r>
      <w:r w:rsidR="00DE2DFA">
        <w:t xml:space="preserve">substituir </w:t>
      </w:r>
      <w:r w:rsidR="00DE2DFA" w:rsidRPr="0007589C">
        <w:rPr>
          <w:b/>
        </w:rPr>
        <w:t>{\bf Palavras-chave}</w:t>
      </w:r>
      <w:r w:rsidR="00DE2DFA">
        <w:t xml:space="preserve"> por </w:t>
      </w:r>
      <w:r w:rsidR="00DE2DFA" w:rsidRPr="0007589C">
        <w:rPr>
          <w:b/>
        </w:rPr>
        <w:t>{\bf Keywords}.</w:t>
      </w:r>
    </w:p>
    <w:p w:rsidR="00DE2DFA" w:rsidRDefault="0007589C" w:rsidP="0001308C">
      <w:pPr>
        <w:jc w:val="both"/>
      </w:pPr>
      <w:r>
        <w:t xml:space="preserve">     </w:t>
      </w:r>
      <w:r w:rsidR="00DE2DFA">
        <w:t>Os parâmetros de \</w:t>
      </w:r>
      <w:proofErr w:type="gramStart"/>
      <w:r w:rsidR="00DE2DFA">
        <w:t>runningheads{ }</w:t>
      </w:r>
      <w:proofErr w:type="gramEnd"/>
      <w:r w:rsidR="00DE2DFA">
        <w:t>{ } são as informações impressas nos</w:t>
      </w:r>
      <w:r>
        <w:t xml:space="preserve"> </w:t>
      </w:r>
      <w:r w:rsidR="00DE2DFA">
        <w:t>cabeçalhos (“headings”) das páginas pares e ímpares, respectivamente. O primeiro</w:t>
      </w:r>
      <w:r>
        <w:t xml:space="preserve"> </w:t>
      </w:r>
      <w:r w:rsidR="00DE2DFA">
        <w:t>parâmetro refere-se aos sobrenomes dos autores e o segundo, ao título abreviado do</w:t>
      </w:r>
      <w:r>
        <w:t xml:space="preserve"> </w:t>
      </w:r>
      <w:r w:rsidR="00DE2DFA">
        <w:t>trabalho (máximo de 70% da largura do texto). Quando há vários autores, isto é,</w:t>
      </w:r>
      <w:r>
        <w:t xml:space="preserve"> </w:t>
      </w:r>
      <w:r w:rsidR="00DE2DFA">
        <w:t>quando os sobrenomes dos autores ocupam mais que 50% da largura do texto, o</w:t>
      </w:r>
      <w:r>
        <w:t xml:space="preserve"> </w:t>
      </w:r>
      <w:r w:rsidR="00DE2DFA">
        <w:t xml:space="preserve">primeiro parâmetro deve ser o sobrenome do primeiro autor seguido de </w:t>
      </w:r>
      <w:proofErr w:type="gramStart"/>
      <w:r w:rsidR="00DE2DFA">
        <w:t>et al. .</w:t>
      </w:r>
      <w:proofErr w:type="gramEnd"/>
      <w:r>
        <w:t xml:space="preserve"> </w:t>
      </w:r>
    </w:p>
    <w:p w:rsidR="00DE2DFA" w:rsidRDefault="0007589C" w:rsidP="0001308C">
      <w:pPr>
        <w:jc w:val="both"/>
      </w:pPr>
      <w:r>
        <w:t xml:space="preserve">    </w:t>
      </w:r>
      <w:r w:rsidR="00DE2DFA">
        <w:t>Quando há mais de um autor, seguir o seguinte exemplo:</w:t>
      </w:r>
    </w:p>
    <w:p w:rsidR="0007589C" w:rsidRDefault="0007589C" w:rsidP="0001308C">
      <w:pPr>
        <w:jc w:val="both"/>
      </w:pPr>
    </w:p>
    <w:p w:rsidR="00DE2DFA" w:rsidRDefault="00DE2DFA" w:rsidP="0001308C">
      <w:pPr>
        <w:spacing w:after="0"/>
        <w:jc w:val="both"/>
      </w:pPr>
      <w:r>
        <w:t>\author</w:t>
      </w:r>
    </w:p>
    <w:p w:rsidR="00DE2DFA" w:rsidRDefault="00932821" w:rsidP="0001308C">
      <w:pPr>
        <w:spacing w:after="0"/>
        <w:jc w:val="both"/>
      </w:pPr>
      <w:r>
        <w:t xml:space="preserve">     </w:t>
      </w:r>
      <w:r w:rsidR="00DE2DFA">
        <w:t>{E.X.L DE ANDRADE%</w:t>
      </w:r>
    </w:p>
    <w:p w:rsidR="00DE2DFA" w:rsidRDefault="00DE2DFA" w:rsidP="0001308C">
      <w:pPr>
        <w:spacing w:after="0"/>
        <w:ind w:firstLine="708"/>
        <w:jc w:val="both"/>
      </w:pPr>
      <w:r>
        <w:t>\thanks{eliana@ibilce.unesp.br. }\„</w:t>
      </w:r>
    </w:p>
    <w:p w:rsidR="00DE2DFA" w:rsidRDefault="00932821" w:rsidP="0001308C">
      <w:pPr>
        <w:spacing w:after="0"/>
        <w:jc w:val="both"/>
      </w:pPr>
      <w:r>
        <w:t xml:space="preserve">      </w:t>
      </w:r>
      <w:r w:rsidR="00DE2DFA">
        <w:t>C.F. BRACCIALI%</w:t>
      </w:r>
    </w:p>
    <w:p w:rsidR="00DE2DFA" w:rsidRDefault="00DE2DFA" w:rsidP="0001308C">
      <w:pPr>
        <w:spacing w:after="0"/>
        <w:ind w:firstLine="708"/>
        <w:jc w:val="both"/>
      </w:pPr>
      <w:r>
        <w:t>\thanks{cleonice@ibilce.unesp.br; editora executiva. }\„</w:t>
      </w:r>
    </w:p>
    <w:p w:rsidR="00DE2DFA" w:rsidRDefault="00932821" w:rsidP="0001308C">
      <w:pPr>
        <w:spacing w:after="0"/>
        <w:jc w:val="both"/>
      </w:pPr>
      <w:r>
        <w:t xml:space="preserve">      </w:t>
      </w:r>
      <w:r w:rsidR="00DE2DFA">
        <w:t>Departamento de Ciências de Computação e Estatística,</w:t>
      </w:r>
    </w:p>
    <w:p w:rsidR="00DE2DFA" w:rsidRDefault="00932821" w:rsidP="0001308C">
      <w:pPr>
        <w:spacing w:after="0"/>
        <w:jc w:val="both"/>
      </w:pPr>
      <w:r>
        <w:t xml:space="preserve">      </w:t>
      </w:r>
      <w:r w:rsidR="00DE2DFA">
        <w:t>Instituto de Biociências, Letras e Ciências Exatas,</w:t>
      </w:r>
    </w:p>
    <w:p w:rsidR="00DE2DFA" w:rsidRDefault="00932821" w:rsidP="0001308C">
      <w:pPr>
        <w:spacing w:after="0"/>
        <w:jc w:val="both"/>
      </w:pPr>
      <w:r>
        <w:t xml:space="preserve">      </w:t>
      </w:r>
      <w:r w:rsidR="00DE2DFA">
        <w:t>UNESP - Univ Estadual Paulista,</w:t>
      </w:r>
    </w:p>
    <w:p w:rsidR="00DE2DFA" w:rsidRDefault="00932821" w:rsidP="0001308C">
      <w:pPr>
        <w:spacing w:after="0"/>
        <w:jc w:val="both"/>
      </w:pPr>
      <w:r>
        <w:t xml:space="preserve">      </w:t>
      </w:r>
      <w:r w:rsidR="00DE2DFA">
        <w:t>15054-000 São José do Rio Preto, SP, Brasil</w:t>
      </w:r>
    </w:p>
    <w:p w:rsidR="00DE2DFA" w:rsidRPr="00932821" w:rsidRDefault="00DE2DFA" w:rsidP="0001308C">
      <w:pPr>
        <w:spacing w:after="0"/>
        <w:ind w:left="708" w:firstLine="708"/>
        <w:jc w:val="both"/>
      </w:pPr>
      <w:r w:rsidRPr="00932821">
        <w:t xml:space="preserve">\\ </w:t>
      </w:r>
      <w:r w:rsidR="00932821">
        <w:t xml:space="preserve"> </w:t>
      </w:r>
      <w:r w:rsidRPr="00932821">
        <w:t>\\</w:t>
      </w:r>
    </w:p>
    <w:p w:rsidR="00DE2DFA" w:rsidRDefault="00932821" w:rsidP="0001308C">
      <w:pPr>
        <w:spacing w:after="0"/>
        <w:jc w:val="both"/>
      </w:pPr>
      <w:r>
        <w:t xml:space="preserve">      </w:t>
      </w:r>
      <w:r w:rsidR="00DE2DFA">
        <w:t>S. BRANDÃO%</w:t>
      </w:r>
    </w:p>
    <w:p w:rsidR="00DE2DFA" w:rsidRDefault="00DE2DFA" w:rsidP="0001308C">
      <w:pPr>
        <w:spacing w:after="0"/>
        <w:ind w:firstLine="708"/>
        <w:jc w:val="both"/>
      </w:pPr>
      <w:r>
        <w:t>\</w:t>
      </w:r>
      <w:proofErr w:type="gramStart"/>
      <w:r>
        <w:t>thanks{</w:t>
      </w:r>
      <w:proofErr w:type="gramEnd"/>
      <w:r>
        <w:t>colaboradora na produção deste documento. }\„</w:t>
      </w:r>
    </w:p>
    <w:p w:rsidR="00DE2DFA" w:rsidRDefault="00932821" w:rsidP="0001308C">
      <w:pPr>
        <w:spacing w:after="0"/>
        <w:jc w:val="both"/>
      </w:pPr>
      <w:r>
        <w:t xml:space="preserve">      </w:t>
      </w:r>
      <w:r w:rsidR="00DE2DFA">
        <w:t>LNCC, Av. Getúlio Vargas 333, Quitandinha,</w:t>
      </w:r>
    </w:p>
    <w:p w:rsidR="00DE2DFA" w:rsidRDefault="00932821" w:rsidP="0001308C">
      <w:pPr>
        <w:spacing w:after="0"/>
        <w:jc w:val="both"/>
      </w:pPr>
      <w:r>
        <w:t xml:space="preserve">      </w:t>
      </w:r>
      <w:r w:rsidR="00DE2DFA">
        <w:t>25651-070 Petrópolis, RJ, Brasil</w:t>
      </w:r>
      <w:proofErr w:type="gramStart"/>
      <w:r w:rsidR="00DE2DFA">
        <w:t>. }</w:t>
      </w:r>
      <w:proofErr w:type="gramEnd"/>
    </w:p>
    <w:p w:rsidR="00DE2DFA" w:rsidRDefault="00DE2DFA" w:rsidP="0001308C">
      <w:pPr>
        <w:jc w:val="both"/>
      </w:pPr>
    </w:p>
    <w:p w:rsidR="00932821" w:rsidRDefault="00932821" w:rsidP="0001308C">
      <w:pPr>
        <w:jc w:val="both"/>
      </w:pPr>
    </w:p>
    <w:p w:rsidR="00932821" w:rsidRDefault="00932821" w:rsidP="0001308C">
      <w:pPr>
        <w:jc w:val="both"/>
      </w:pPr>
    </w:p>
    <w:p w:rsidR="00DE2DFA" w:rsidRDefault="00386A7B" w:rsidP="0001308C">
      <w:pPr>
        <w:jc w:val="both"/>
      </w:pPr>
      <w:r>
        <w:lastRenderedPageBreak/>
        <w:t xml:space="preserve">     </w:t>
      </w:r>
      <w:r w:rsidR="00DE2DFA">
        <w:t>Neste caso, a instrução \runningheads poderá ficar como:</w:t>
      </w:r>
    </w:p>
    <w:p w:rsidR="00DE2DFA" w:rsidRPr="00386A7B" w:rsidRDefault="00DE2DFA" w:rsidP="0001308C">
      <w:pPr>
        <w:jc w:val="both"/>
        <w:rPr>
          <w:b/>
        </w:rPr>
      </w:pPr>
      <w:r w:rsidRPr="00386A7B">
        <w:rPr>
          <w:b/>
        </w:rPr>
        <w:t>\</w:t>
      </w:r>
      <w:proofErr w:type="gramStart"/>
      <w:r w:rsidRPr="00386A7B">
        <w:rPr>
          <w:b/>
        </w:rPr>
        <w:t>runningheads{</w:t>
      </w:r>
      <w:proofErr w:type="gramEnd"/>
      <w:r w:rsidRPr="00386A7B">
        <w:rPr>
          <w:b/>
        </w:rPr>
        <w:t>Andrade et al.} {Instruções para os Autores}</w:t>
      </w:r>
    </w:p>
    <w:p w:rsidR="00DE2DFA" w:rsidRDefault="00386A7B" w:rsidP="0001308C">
      <w:pPr>
        <w:jc w:val="both"/>
      </w:pPr>
      <w:r>
        <w:t xml:space="preserve">    </w:t>
      </w:r>
      <w:r w:rsidR="00DE2DFA">
        <w:t>ou</w:t>
      </w:r>
    </w:p>
    <w:p w:rsidR="00DE2DFA" w:rsidRDefault="00DE2DFA" w:rsidP="0001308C">
      <w:pPr>
        <w:jc w:val="both"/>
        <w:rPr>
          <w:b/>
        </w:rPr>
      </w:pPr>
      <w:r w:rsidRPr="00386A7B">
        <w:rPr>
          <w:b/>
        </w:rPr>
        <w:t>\</w:t>
      </w:r>
      <w:proofErr w:type="gramStart"/>
      <w:r w:rsidRPr="00386A7B">
        <w:rPr>
          <w:b/>
        </w:rPr>
        <w:t>runningheads{</w:t>
      </w:r>
      <w:proofErr w:type="gramEnd"/>
      <w:r w:rsidRPr="00386A7B">
        <w:rPr>
          <w:b/>
        </w:rPr>
        <w:t>Andrade, Bracciali e Brandão} {Instruções para os Autores}</w:t>
      </w:r>
    </w:p>
    <w:p w:rsidR="00386A7B" w:rsidRPr="00386A7B" w:rsidRDefault="00386A7B" w:rsidP="0001308C">
      <w:pPr>
        <w:jc w:val="both"/>
        <w:rPr>
          <w:b/>
        </w:rPr>
      </w:pPr>
    </w:p>
    <w:p w:rsidR="00DE2DFA" w:rsidRPr="00386A7B" w:rsidRDefault="00DE2DFA" w:rsidP="0001308C">
      <w:pPr>
        <w:jc w:val="both"/>
        <w:rPr>
          <w:b/>
          <w:sz w:val="24"/>
        </w:rPr>
      </w:pPr>
      <w:r w:rsidRPr="00386A7B">
        <w:rPr>
          <w:b/>
          <w:sz w:val="24"/>
        </w:rPr>
        <w:t>3.. Sobre Equações</w:t>
      </w:r>
    </w:p>
    <w:p w:rsidR="00DE2DFA" w:rsidRDefault="00386A7B" w:rsidP="0001308C">
      <w:pPr>
        <w:jc w:val="both"/>
      </w:pPr>
      <w:r>
        <w:t xml:space="preserve">     </w:t>
      </w:r>
      <w:r w:rsidR="00DE2DFA">
        <w:t xml:space="preserve">Embora se deva usar o comando </w:t>
      </w:r>
      <w:r w:rsidR="00DE2DFA" w:rsidRPr="00386A7B">
        <w:rPr>
          <w:b/>
        </w:rPr>
        <w:t>\documentclass{TEMA},</w:t>
      </w:r>
      <w:r w:rsidR="00DE2DFA">
        <w:t xml:space="preserve"> as equações e referências</w:t>
      </w:r>
      <w:r>
        <w:t xml:space="preserve"> </w:t>
      </w:r>
      <w:r w:rsidR="00DE2DFA">
        <w:t>bibliográficas são geradas da mesma forma que quando usamos o comando</w:t>
      </w:r>
      <w:r>
        <w:t xml:space="preserve"> </w:t>
      </w:r>
      <w:r w:rsidR="00DE2DFA" w:rsidRPr="00386A7B">
        <w:rPr>
          <w:b/>
        </w:rPr>
        <w:t>\documentclass{article}.</w:t>
      </w:r>
    </w:p>
    <w:p w:rsidR="00DE2DFA" w:rsidRDefault="00386A7B" w:rsidP="0001308C">
      <w:pPr>
        <w:jc w:val="both"/>
      </w:pPr>
      <w:r>
        <w:t xml:space="preserve">     </w:t>
      </w:r>
      <w:r w:rsidR="00DE2DFA">
        <w:t xml:space="preserve">Os autores deverão usar o comando </w:t>
      </w:r>
      <w:r w:rsidR="00DE2DFA" w:rsidRPr="00386A7B">
        <w:rPr>
          <w:b/>
        </w:rPr>
        <w:t>\</w:t>
      </w:r>
      <w:proofErr w:type="gramStart"/>
      <w:r w:rsidR="00DE2DFA" w:rsidRPr="00386A7B">
        <w:rPr>
          <w:b/>
        </w:rPr>
        <w:t>newsec{</w:t>
      </w:r>
      <w:proofErr w:type="gramEnd"/>
      <w:r w:rsidR="00DE2DFA" w:rsidRPr="00386A7B">
        <w:rPr>
          <w:b/>
        </w:rPr>
        <w:t xml:space="preserve">Nome da Seção}, </w:t>
      </w:r>
      <w:r w:rsidR="00DE2DFA">
        <w:t>ao invés de</w:t>
      </w:r>
      <w:r>
        <w:t xml:space="preserve"> </w:t>
      </w:r>
      <w:r w:rsidR="00DE2DFA" w:rsidRPr="00386A7B">
        <w:rPr>
          <w:b/>
        </w:rPr>
        <w:t>\section{Nome da Seção}</w:t>
      </w:r>
      <w:r w:rsidR="00DE2DFA">
        <w:t xml:space="preserve"> para produzir equações numeradas de acordo com a</w:t>
      </w:r>
      <w:r>
        <w:t xml:space="preserve"> </w:t>
      </w:r>
      <w:r w:rsidR="00DE2DFA">
        <w:t xml:space="preserve">seção. Alternativamente, pode-se usar o comando </w:t>
      </w:r>
      <w:r w:rsidR="00DE2DFA" w:rsidRPr="00386A7B">
        <w:rPr>
          <w:b/>
        </w:rPr>
        <w:t>\</w:t>
      </w:r>
      <w:proofErr w:type="gramStart"/>
      <w:r w:rsidR="00DE2DFA" w:rsidRPr="00386A7B">
        <w:rPr>
          <w:b/>
        </w:rPr>
        <w:t>section{</w:t>
      </w:r>
      <w:proofErr w:type="gramEnd"/>
      <w:r w:rsidR="00DE2DFA" w:rsidRPr="00386A7B">
        <w:rPr>
          <w:b/>
        </w:rPr>
        <w:t>Nome da Seção}</w:t>
      </w:r>
      <w:r w:rsidR="00DE2DFA">
        <w:t xml:space="preserve"> seguido</w:t>
      </w:r>
      <w:r>
        <w:t xml:space="preserve"> </w:t>
      </w:r>
      <w:r w:rsidR="00DE2DFA">
        <w:t xml:space="preserve">de </w:t>
      </w:r>
      <w:r w:rsidR="00DE2DFA" w:rsidRPr="00386A7B">
        <w:rPr>
          <w:b/>
        </w:rPr>
        <w:t xml:space="preserve">\setcounter{equation}{0} </w:t>
      </w:r>
      <w:r w:rsidR="00DE2DFA">
        <w:t>para iniciar novas seções. O seguinte</w:t>
      </w:r>
      <w:r>
        <w:t xml:space="preserve"> </w:t>
      </w:r>
      <w:r w:rsidR="00DE2DFA">
        <w:t>exemplo mostra o resultado final do uso desses comandos:</w:t>
      </w:r>
    </w:p>
    <w:p w:rsidR="00DE2DFA" w:rsidRDefault="006837DF" w:rsidP="0001308C">
      <w:pPr>
        <w:jc w:val="both"/>
      </w:pPr>
      <w:r w:rsidRPr="00386A7B">
        <w:rPr>
          <w:b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19B62" wp14:editId="72B2E374">
                <wp:simplePos x="0" y="0"/>
                <wp:positionH relativeFrom="column">
                  <wp:posOffset>80755</wp:posOffset>
                </wp:positionH>
                <wp:positionV relativeFrom="paragraph">
                  <wp:posOffset>283239</wp:posOffset>
                </wp:positionV>
                <wp:extent cx="55660" cy="4332936"/>
                <wp:effectExtent l="0" t="0" r="20955" b="2984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60" cy="4332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9AE52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5pt,22.3pt" to="10.75pt,3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DE2DFA" w:rsidRPr="00386A7B" w:rsidRDefault="006837DF" w:rsidP="0001308C">
      <w:pPr>
        <w:ind w:left="1416"/>
        <w:jc w:val="both"/>
        <w:rPr>
          <w:b/>
          <w:sz w:val="24"/>
        </w:rPr>
      </w:pPr>
      <w:r w:rsidRPr="00386A7B">
        <w:rPr>
          <w:b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E7860A" wp14:editId="300E1350">
                <wp:simplePos x="0" y="0"/>
                <wp:positionH relativeFrom="rightMargin">
                  <wp:align>left</wp:align>
                </wp:positionH>
                <wp:positionV relativeFrom="paragraph">
                  <wp:posOffset>20955</wp:posOffset>
                </wp:positionV>
                <wp:extent cx="71562" cy="4309082"/>
                <wp:effectExtent l="0" t="0" r="24130" b="3492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2" cy="4309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831AA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.65pt" to="5.65pt,3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E2DFA" w:rsidRPr="00386A7B">
        <w:rPr>
          <w:b/>
          <w:sz w:val="24"/>
        </w:rPr>
        <w:t>1.. Primeira Seção</w:t>
      </w:r>
    </w:p>
    <w:p w:rsidR="00DE2DFA" w:rsidRDefault="00DE2DFA" w:rsidP="0001308C">
      <w:pPr>
        <w:ind w:left="1416"/>
        <w:jc w:val="both"/>
      </w:pPr>
      <w:r>
        <w:t>Considere</w:t>
      </w:r>
    </w:p>
    <w:p w:rsidR="0034141F" w:rsidRDefault="0034141F" w:rsidP="0001308C">
      <w:pPr>
        <w:ind w:left="1416"/>
        <w:jc w:val="both"/>
        <w:rPr>
          <w:rFonts w:eastAsiaTheme="minorEastAsia"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=z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</m:t>
        </m:r>
      </m:oMath>
    </w:p>
    <w:p w:rsidR="0034141F" w:rsidRPr="0058546E" w:rsidRDefault="0034141F" w:rsidP="0001308C">
      <w:pPr>
        <w:ind w:left="1416"/>
        <w:jc w:val="both"/>
      </w:pPr>
      <w:r>
        <w:rPr>
          <w:i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z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n+1 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</m:t>
        </m:r>
      </m:oMath>
      <w:r w:rsidR="0058546E">
        <w:rPr>
          <w:rFonts w:eastAsiaTheme="minorEastAsia"/>
          <w:i/>
        </w:rPr>
        <w:t xml:space="preserve">                 </w:t>
      </w:r>
      <m:oMath>
        <m:r>
          <w:rPr>
            <w:rFonts w:ascii="Cambria Math" w:eastAsiaTheme="minorEastAsia" w:hAnsi="Cambria Math"/>
          </w:rPr>
          <m:t>(1.1)</m:t>
        </m:r>
      </m:oMath>
    </w:p>
    <w:p w:rsidR="001242A0" w:rsidRDefault="001242A0" w:rsidP="0001308C">
      <w:pPr>
        <w:ind w:left="1416"/>
        <w:jc w:val="both"/>
      </w:pPr>
      <w:r>
        <w:rPr>
          <w:i/>
        </w:rPr>
        <w:tab/>
      </w:r>
      <w:r w:rsidR="0034141F">
        <w:rPr>
          <w:i/>
        </w:rPr>
        <w:tab/>
      </w:r>
      <w:r w:rsidR="0034141F">
        <w:rPr>
          <w:i/>
        </w:rPr>
        <w:tab/>
      </w:r>
    </w:p>
    <w:p w:rsidR="0034141F" w:rsidRDefault="0034141F" w:rsidP="0001308C">
      <w:pPr>
        <w:ind w:left="1416"/>
        <w:jc w:val="both"/>
      </w:pPr>
    </w:p>
    <w:p w:rsidR="0034141F" w:rsidRDefault="0034141F" w:rsidP="0001308C">
      <w:pPr>
        <w:ind w:left="1416"/>
        <w:jc w:val="both"/>
        <w:rPr>
          <w:rFonts w:eastAsiaTheme="minorEastAsia"/>
          <w:sz w:val="20"/>
        </w:rPr>
      </w:pPr>
      <w:r>
        <w:t>para n</w:t>
      </w:r>
      <w:r w:rsidRPr="0034141F">
        <w:rPr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>≥</m:t>
        </m:r>
      </m:oMath>
      <w:r>
        <w:rPr>
          <w:rFonts w:eastAsiaTheme="minorEastAsia"/>
          <w:sz w:val="20"/>
        </w:rPr>
        <w:t xml:space="preserve"> 1  </w:t>
      </w:r>
      <w:r w:rsidRPr="0034141F">
        <w:rPr>
          <w:rFonts w:eastAsiaTheme="minorEastAsia"/>
          <w:sz w:val="20"/>
        </w:rPr>
        <w:t>onde</w:t>
      </w:r>
      <w:r>
        <w:rPr>
          <w:rFonts w:eastAsiaTheme="minorEastAsia"/>
          <w:sz w:val="20"/>
        </w:rPr>
        <w:t xml:space="preserve"> 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0"/>
              </w:rPr>
              <m:t>*</m:t>
            </m:r>
          </m:sup>
        </m:sSubSup>
        <m:r>
          <w:rPr>
            <w:rFonts w:ascii="Cambria Math" w:eastAsiaTheme="minorEastAsia" w:hAnsi="Cambria Math"/>
            <w:sz w:val="20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</w:rPr>
              <m:t>z</m:t>
            </m:r>
          </m:e>
        </m:d>
        <m:r>
          <w:rPr>
            <w:rFonts w:ascii="Cambria Math" w:eastAsiaTheme="minorEastAsia" w:hAnsi="Cambria Math"/>
            <w:sz w:val="20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0"/>
              </w:rPr>
              <m:t>n</m:t>
            </m:r>
          </m:sup>
        </m:sSup>
        <m:r>
          <w:rPr>
            <w:rFonts w:ascii="Cambria Math" w:eastAsiaTheme="minorEastAsia" w:hAnsi="Cambria Math"/>
            <w:sz w:val="2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</w:rPr>
                  <m:t>z</m:t>
                </m:r>
              </m:den>
            </m:f>
          </m:e>
        </m:d>
        <m:r>
          <w:rPr>
            <w:rFonts w:ascii="Cambria Math" w:eastAsiaTheme="minorEastAsia" w:hAnsi="Cambria Math"/>
            <w:sz w:val="20"/>
          </w:rPr>
          <m:t>.</m:t>
        </m:r>
      </m:oMath>
      <w:r w:rsidRPr="0034141F">
        <w:rPr>
          <w:rFonts w:eastAsiaTheme="minorEastAsia"/>
          <w:sz w:val="20"/>
        </w:rPr>
        <w:t xml:space="preserve"> </w:t>
      </w:r>
    </w:p>
    <w:p w:rsidR="00DE2DFA" w:rsidRDefault="0058546E" w:rsidP="0001308C">
      <w:pPr>
        <w:ind w:left="1416"/>
        <w:jc w:val="both"/>
      </w:pPr>
      <w:r>
        <w:t xml:space="preserve">      </w:t>
      </w:r>
      <w:r w:rsidR="00DE2DFA">
        <w:t>As equações (1.1) acima são as primeiras equações numeradas desta</w:t>
      </w:r>
      <w:r>
        <w:t xml:space="preserve"> </w:t>
      </w:r>
      <w:r w:rsidR="00DE2DFA">
        <w:t>seção. Abaixo, um exemplo de equação centralizada mas não numerada.</w:t>
      </w:r>
    </w:p>
    <w:p w:rsidR="0058546E" w:rsidRDefault="0058546E" w:rsidP="0001308C">
      <w:pPr>
        <w:ind w:left="1416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=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 xml:space="preserve">x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(x)</m:t>
                  </m:r>
                </m:e>
              </m:func>
            </m:sup>
          </m:sSup>
          <m:r>
            <w:rPr>
              <w:rFonts w:ascii="Cambria Math" w:hAnsi="Cambria Math"/>
            </w:rPr>
            <m:t xml:space="preserve"> ,                     x &gt;0</m:t>
          </m:r>
        </m:oMath>
      </m:oMathPara>
    </w:p>
    <w:p w:rsidR="0058546E" w:rsidRDefault="0058546E" w:rsidP="0001308C">
      <w:pPr>
        <w:ind w:left="1416"/>
        <w:jc w:val="both"/>
      </w:pPr>
    </w:p>
    <w:p w:rsidR="00DE2DFA" w:rsidRPr="0058546E" w:rsidRDefault="00DE2DFA" w:rsidP="0001308C">
      <w:pPr>
        <w:ind w:left="1416"/>
        <w:jc w:val="both"/>
        <w:rPr>
          <w:b/>
          <w:sz w:val="24"/>
        </w:rPr>
      </w:pPr>
      <w:r w:rsidRPr="0058546E">
        <w:rPr>
          <w:b/>
          <w:sz w:val="24"/>
        </w:rPr>
        <w:t>2.. Segunda Seção</w:t>
      </w:r>
    </w:p>
    <w:p w:rsidR="00DE2DFA" w:rsidRDefault="00DE2DFA" w:rsidP="0001308C">
      <w:pPr>
        <w:ind w:left="1416"/>
        <w:jc w:val="both"/>
      </w:pPr>
      <w:r>
        <w:t>A equação (2.1) é a primeira equação numerada da Seção 2., veja</w:t>
      </w:r>
    </w:p>
    <w:p w:rsidR="00DE2DFA" w:rsidRDefault="00DE2DFA" w:rsidP="0001308C">
      <w:pPr>
        <w:jc w:val="both"/>
      </w:pPr>
    </w:p>
    <w:p w:rsidR="0058546E" w:rsidRDefault="0058546E" w:rsidP="0001308C">
      <w:pPr>
        <w:jc w:val="both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 xml:space="preserve">e  =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 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</m:func>
      </m:oMath>
      <w:r w:rsidRPr="0058546E">
        <w:rPr>
          <w:rFonts w:eastAsiaTheme="minorEastAsia"/>
          <w:sz w:val="36"/>
          <w:vertAlign w:val="superscript"/>
        </w:rPr>
        <w:t>n</w:t>
      </w:r>
      <w:r>
        <w:rPr>
          <w:rFonts w:eastAsiaTheme="minorEastAsia"/>
          <w:sz w:val="36"/>
          <w:vertAlign w:val="superscript"/>
        </w:rPr>
        <w:t xml:space="preserve">                                                </w:t>
      </w:r>
      <m:oMath>
        <m:r>
          <w:rPr>
            <w:rFonts w:ascii="Cambria Math" w:eastAsiaTheme="minorEastAsia" w:hAnsi="Cambria Math"/>
            <w:vertAlign w:val="superscript"/>
          </w:rPr>
          <m:t>(2.1)</m:t>
        </m:r>
      </m:oMath>
      <w:r>
        <w:rPr>
          <w:rFonts w:eastAsiaTheme="minorEastAsia"/>
          <w:sz w:val="36"/>
          <w:vertAlign w:val="superscript"/>
        </w:rPr>
        <w:t xml:space="preserve">   </w:t>
      </w:r>
    </w:p>
    <w:p w:rsidR="0058546E" w:rsidRDefault="0058546E" w:rsidP="0001308C">
      <w:pPr>
        <w:jc w:val="both"/>
      </w:pPr>
    </w:p>
    <w:p w:rsidR="0058546E" w:rsidRDefault="0058546E" w:rsidP="0001308C">
      <w:pPr>
        <w:jc w:val="both"/>
      </w:pPr>
    </w:p>
    <w:p w:rsidR="0058546E" w:rsidRDefault="0058546E" w:rsidP="0001308C">
      <w:pPr>
        <w:jc w:val="both"/>
      </w:pPr>
    </w:p>
    <w:p w:rsidR="0058546E" w:rsidRDefault="0058546E" w:rsidP="0001308C">
      <w:pPr>
        <w:jc w:val="both"/>
      </w:pPr>
    </w:p>
    <w:p w:rsidR="006837DF" w:rsidRDefault="006837DF" w:rsidP="0001308C">
      <w:pPr>
        <w:jc w:val="both"/>
      </w:pPr>
    </w:p>
    <w:p w:rsidR="006837DF" w:rsidRPr="006837DF" w:rsidRDefault="006837DF" w:rsidP="0001308C">
      <w:pPr>
        <w:ind w:left="1416"/>
        <w:jc w:val="both"/>
        <w:rPr>
          <w:b/>
          <w:sz w:val="24"/>
        </w:rPr>
      </w:pPr>
      <w:r w:rsidRPr="006837DF">
        <w:rPr>
          <w:b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2FAED9" wp14:editId="5A53B02B">
                <wp:simplePos x="0" y="0"/>
                <wp:positionH relativeFrom="margin">
                  <wp:posOffset>-6709</wp:posOffset>
                </wp:positionH>
                <wp:positionV relativeFrom="paragraph">
                  <wp:posOffset>103062</wp:posOffset>
                </wp:positionV>
                <wp:extent cx="7951" cy="4213695"/>
                <wp:effectExtent l="0" t="0" r="30480" b="3492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213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23FFC" id="Conector rec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5pt,8.1pt" to=".1pt,3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837DF">
        <w:rPr>
          <w:b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BC011" wp14:editId="24F40F8A">
                <wp:simplePos x="0" y="0"/>
                <wp:positionH relativeFrom="rightMargin">
                  <wp:align>left</wp:align>
                </wp:positionH>
                <wp:positionV relativeFrom="paragraph">
                  <wp:posOffset>20955</wp:posOffset>
                </wp:positionV>
                <wp:extent cx="71562" cy="4309082"/>
                <wp:effectExtent l="0" t="0" r="24130" b="3492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2" cy="4309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02952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.65pt" to="5.65pt,3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837DF">
        <w:rPr>
          <w:rFonts w:ascii="SFBX1200" w:hAnsi="SFBX1200" w:cs="SFBX1200"/>
          <w:b/>
          <w:sz w:val="24"/>
          <w:szCs w:val="24"/>
        </w:rPr>
        <w:t>2.</w:t>
      </w:r>
      <w:proofErr w:type="gramStart"/>
      <w:r w:rsidRPr="006837DF">
        <w:rPr>
          <w:rFonts w:ascii="SFBX1200" w:hAnsi="SFBX1200" w:cs="SFBX1200"/>
          <w:b/>
          <w:sz w:val="24"/>
          <w:szCs w:val="24"/>
        </w:rPr>
        <w:t>1..</w:t>
      </w:r>
      <w:proofErr w:type="gramEnd"/>
      <w:r w:rsidRPr="006837DF">
        <w:rPr>
          <w:rFonts w:ascii="SFBX1200" w:hAnsi="SFBX1200" w:cs="SFBX1200"/>
          <w:b/>
          <w:sz w:val="24"/>
          <w:szCs w:val="24"/>
        </w:rPr>
        <w:t xml:space="preserve"> Primeira subseção da segunda seção</w:t>
      </w:r>
    </w:p>
    <w:p w:rsidR="006837DF" w:rsidRDefault="006837DF" w:rsidP="0001308C">
      <w:pPr>
        <w:ind w:left="1416"/>
        <w:jc w:val="both"/>
      </w:pPr>
      <w:r>
        <w:t xml:space="preserve">Observe que as equações continuam sendo numeradas de acordo com </w:t>
      </w:r>
      <w:proofErr w:type="gramStart"/>
      <w:r>
        <w:t>a  seção</w:t>
      </w:r>
      <w:proofErr w:type="gramEnd"/>
      <w:r>
        <w:t>.</w:t>
      </w:r>
      <w:r>
        <w:tab/>
      </w:r>
    </w:p>
    <w:p w:rsidR="006837DF" w:rsidRDefault="006837DF" w:rsidP="0001308C">
      <w:pPr>
        <w:ind w:left="1416"/>
        <w:jc w:val="both"/>
      </w:pPr>
    </w:p>
    <w:p w:rsidR="006837DF" w:rsidRDefault="006837DF" w:rsidP="0001308C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k =0 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 =j+1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   </m:t>
          </m:r>
          <m:r>
            <w:rPr>
              <w:rFonts w:ascii="Cambria Math" w:hAnsi="Cambria Math"/>
            </w:rPr>
            <m:t xml:space="preserve">          </m:t>
          </m:r>
          <m:r>
            <w:rPr>
              <w:rFonts w:ascii="Cambria Math" w:hAnsi="Cambria Math"/>
            </w:rPr>
            <m:t xml:space="preserve">    (2.2)</m:t>
          </m:r>
        </m:oMath>
      </m:oMathPara>
    </w:p>
    <w:p w:rsidR="006837DF" w:rsidRDefault="006837DF" w:rsidP="0001308C">
      <w:pPr>
        <w:tabs>
          <w:tab w:val="left" w:pos="708"/>
          <w:tab w:val="left" w:pos="1416"/>
          <w:tab w:val="left" w:pos="2124"/>
          <w:tab w:val="left" w:pos="6198"/>
        </w:tabs>
        <w:ind w:left="1416"/>
        <w:jc w:val="both"/>
      </w:pPr>
      <w:r>
        <w:tab/>
      </w:r>
    </w:p>
    <w:p w:rsidR="007A6A94" w:rsidRDefault="007A6A94" w:rsidP="0001308C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k =0 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 =j+1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                           </m:t>
          </m:r>
        </m:oMath>
      </m:oMathPara>
    </w:p>
    <w:p w:rsidR="006837DF" w:rsidRDefault="006837DF" w:rsidP="0001308C">
      <w:pPr>
        <w:ind w:left="1416"/>
        <w:jc w:val="both"/>
      </w:pPr>
    </w:p>
    <w:p w:rsidR="002432B1" w:rsidRDefault="002432B1" w:rsidP="0001308C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+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k=j+1</m:t>
              </m:r>
            </m:sub>
            <m:sup>
              <m:r>
                <w:rPr>
                  <w:rFonts w:ascii="Cambria Math" w:hAnsi="Cambria Math"/>
                </w:rPr>
                <m:t>2j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        (2.3)                           </m:t>
          </m:r>
        </m:oMath>
      </m:oMathPara>
    </w:p>
    <w:p w:rsidR="002432B1" w:rsidRDefault="002432B1" w:rsidP="0001308C">
      <w:pPr>
        <w:jc w:val="both"/>
      </w:pPr>
      <w:r>
        <w:t xml:space="preserve">                                        </w:t>
      </w:r>
    </w:p>
    <w:p w:rsidR="006837DF" w:rsidRDefault="006837DF" w:rsidP="0001308C">
      <w:pPr>
        <w:ind w:left="1416"/>
        <w:jc w:val="both"/>
      </w:pPr>
      <w:r w:rsidRPr="006837DF">
        <w:rPr>
          <w:rFonts w:ascii="SFBX1440" w:hAnsi="SFBX1440" w:cs="SFBX1440"/>
          <w:b/>
          <w:sz w:val="24"/>
          <w:szCs w:val="24"/>
        </w:rPr>
        <w:t>3.. Terceira Seção</w:t>
      </w:r>
      <w:r w:rsidRPr="006837DF">
        <w:rPr>
          <w:b/>
          <w:sz w:val="24"/>
          <w:szCs w:val="24"/>
        </w:rPr>
        <w:t>A</w:t>
      </w:r>
    </w:p>
    <w:p w:rsidR="006837DF" w:rsidRDefault="006837DF" w:rsidP="0001308C">
      <w:pPr>
        <w:ind w:left="1416"/>
        <w:jc w:val="both"/>
        <w:rPr>
          <w:rFonts w:ascii="SFRM0900" w:hAnsi="SFRM0900" w:cs="SFRM0900"/>
          <w:sz w:val="18"/>
          <w:szCs w:val="18"/>
        </w:rPr>
      </w:pPr>
      <w:r w:rsidRPr="006837DF">
        <w:t xml:space="preserve"> </w:t>
      </w:r>
      <w:r>
        <w:rPr>
          <w:rFonts w:ascii="SFRM0900" w:hAnsi="SFRM0900" w:cs="SFRM0900"/>
          <w:sz w:val="18"/>
          <w:szCs w:val="18"/>
        </w:rPr>
        <w:t>Na Seção 2.1 vimos....</w:t>
      </w:r>
    </w:p>
    <w:p w:rsidR="002432B1" w:rsidRDefault="002432B1" w:rsidP="0001308C">
      <w:pPr>
        <w:jc w:val="both"/>
        <w:rPr>
          <w:rFonts w:ascii="SFRM0900" w:hAnsi="SFRM0900" w:cs="SFRM0900"/>
          <w:sz w:val="18"/>
          <w:szCs w:val="18"/>
        </w:rPr>
      </w:pPr>
    </w:p>
    <w:p w:rsidR="002432B1" w:rsidRPr="002432B1" w:rsidRDefault="002432B1" w:rsidP="0001308C">
      <w:pPr>
        <w:jc w:val="both"/>
        <w:rPr>
          <w:b/>
          <w:sz w:val="24"/>
        </w:rPr>
      </w:pPr>
      <w:r w:rsidRPr="002432B1">
        <w:rPr>
          <w:b/>
          <w:sz w:val="24"/>
        </w:rPr>
        <w:t>4.. Sobre Figuras e Tabelas</w:t>
      </w:r>
    </w:p>
    <w:p w:rsidR="002432B1" w:rsidRDefault="002432B1" w:rsidP="0001308C">
      <w:pPr>
        <w:jc w:val="both"/>
      </w:pPr>
      <w:r>
        <w:t xml:space="preserve">    As figuras e ilustrações não podem ser coloridas e, de preferência, devem ser preparadas em formato “encapsulated postscript” (.eps) ou “postscript” (.ps).</w:t>
      </w:r>
    </w:p>
    <w:p w:rsidR="002432B1" w:rsidRDefault="002432B1" w:rsidP="0001308C">
      <w:pPr>
        <w:jc w:val="both"/>
      </w:pPr>
    </w:p>
    <w:p w:rsidR="002432B1" w:rsidRDefault="002432B1" w:rsidP="0001308C">
      <w:pPr>
        <w:jc w:val="both"/>
      </w:pPr>
    </w:p>
    <w:p w:rsidR="002432B1" w:rsidRDefault="002432B1" w:rsidP="0001308C">
      <w:pPr>
        <w:jc w:val="both"/>
      </w:pPr>
    </w:p>
    <w:p w:rsidR="002432B1" w:rsidRDefault="002432B1" w:rsidP="0001308C">
      <w:pPr>
        <w:jc w:val="both"/>
      </w:pPr>
    </w:p>
    <w:p w:rsidR="002432B1" w:rsidRDefault="002432B1" w:rsidP="0001308C">
      <w:pPr>
        <w:ind w:firstLine="708"/>
        <w:jc w:val="both"/>
      </w:pPr>
      <w:r w:rsidRPr="002432B1">
        <w:t>Figura 1: Exemplo de figura utilizando o comando \</w:t>
      </w:r>
      <w:r w:rsidRPr="002432B1">
        <w:rPr>
          <w:i/>
        </w:rPr>
        <w:t>epsfig</w:t>
      </w:r>
      <w:r w:rsidRPr="002432B1">
        <w:t>.</w:t>
      </w:r>
    </w:p>
    <w:p w:rsidR="006837DF" w:rsidRDefault="002432B1" w:rsidP="0001308C">
      <w:pPr>
        <w:jc w:val="both"/>
      </w:pPr>
      <w:r w:rsidRPr="002432B1">
        <w:t>Os seguintes comandos geram a Figura 1.</w:t>
      </w:r>
    </w:p>
    <w:p w:rsidR="002432B1" w:rsidRDefault="002432B1" w:rsidP="0001308C">
      <w:pPr>
        <w:spacing w:after="0"/>
        <w:jc w:val="both"/>
      </w:pPr>
      <w:r>
        <w:t>\begin{figure}[h]</w:t>
      </w:r>
    </w:p>
    <w:p w:rsidR="002432B1" w:rsidRDefault="002432B1" w:rsidP="0001308C">
      <w:pPr>
        <w:spacing w:after="0"/>
        <w:jc w:val="both"/>
      </w:pPr>
      <w:r>
        <w:t>\centering</w:t>
      </w:r>
    </w:p>
    <w:p w:rsidR="002432B1" w:rsidRDefault="002432B1" w:rsidP="0001308C">
      <w:pPr>
        <w:spacing w:after="0"/>
        <w:jc w:val="both"/>
      </w:pPr>
      <w:r>
        <w:t>\epsfig{file=</w:t>
      </w:r>
      <w:proofErr w:type="gramStart"/>
      <w:r>
        <w:t>fig1.eps,height</w:t>
      </w:r>
      <w:proofErr w:type="gramEnd"/>
      <w:r>
        <w:t>=5cm,width=5cm}</w:t>
      </w:r>
    </w:p>
    <w:p w:rsidR="002432B1" w:rsidRDefault="002432B1" w:rsidP="0001308C">
      <w:pPr>
        <w:spacing w:after="0"/>
        <w:jc w:val="both"/>
      </w:pPr>
      <w:r>
        <w:t>\</w:t>
      </w:r>
      <w:proofErr w:type="gramStart"/>
      <w:r>
        <w:t>caption{</w:t>
      </w:r>
      <w:proofErr w:type="gramEnd"/>
      <w:r>
        <w:t>Exemplo de figura utilizando o comando \epsfig. }</w:t>
      </w:r>
    </w:p>
    <w:p w:rsidR="002432B1" w:rsidRDefault="002432B1" w:rsidP="0001308C">
      <w:pPr>
        <w:spacing w:after="0"/>
        <w:jc w:val="both"/>
      </w:pPr>
      <w:r>
        <w:t>\label{fig1}</w:t>
      </w:r>
    </w:p>
    <w:p w:rsidR="002432B1" w:rsidRDefault="002432B1" w:rsidP="0001308C">
      <w:pPr>
        <w:spacing w:after="0"/>
        <w:jc w:val="both"/>
      </w:pPr>
      <w:r>
        <w:t>\end{figure}</w:t>
      </w:r>
    </w:p>
    <w:p w:rsidR="002432B1" w:rsidRDefault="002432B1" w:rsidP="0001308C">
      <w:pPr>
        <w:spacing w:after="0"/>
        <w:jc w:val="both"/>
      </w:pPr>
    </w:p>
    <w:p w:rsidR="002432B1" w:rsidRDefault="002432B1" w:rsidP="0001308C">
      <w:pPr>
        <w:spacing w:after="0"/>
        <w:jc w:val="both"/>
      </w:pPr>
    </w:p>
    <w:p w:rsidR="002432B1" w:rsidRDefault="002432B1" w:rsidP="0001308C">
      <w:pPr>
        <w:spacing w:after="0"/>
        <w:jc w:val="both"/>
      </w:pPr>
    </w:p>
    <w:p w:rsidR="002432B1" w:rsidRDefault="002432B1" w:rsidP="0001308C">
      <w:pPr>
        <w:spacing w:after="0"/>
        <w:jc w:val="both"/>
      </w:pPr>
    </w:p>
    <w:p w:rsidR="002432B1" w:rsidRDefault="002432B1" w:rsidP="0001308C">
      <w:pPr>
        <w:spacing w:after="0"/>
        <w:jc w:val="both"/>
      </w:pPr>
    </w:p>
    <w:p w:rsidR="002432B1" w:rsidRDefault="002432B1" w:rsidP="0001308C">
      <w:pPr>
        <w:spacing w:after="0"/>
        <w:jc w:val="both"/>
      </w:pPr>
    </w:p>
    <w:p w:rsidR="002432B1" w:rsidRDefault="002432B1" w:rsidP="0001308C">
      <w:pPr>
        <w:spacing w:after="0"/>
        <w:jc w:val="both"/>
      </w:pPr>
    </w:p>
    <w:p w:rsidR="002432B1" w:rsidRDefault="002432B1" w:rsidP="0001308C">
      <w:pPr>
        <w:spacing w:after="0"/>
        <w:jc w:val="both"/>
      </w:pPr>
    </w:p>
    <w:p w:rsidR="002432B1" w:rsidRDefault="002432B1" w:rsidP="0001308C">
      <w:pPr>
        <w:spacing w:after="0"/>
        <w:jc w:val="both"/>
      </w:pPr>
    </w:p>
    <w:p w:rsidR="002432B1" w:rsidRDefault="002432B1" w:rsidP="0001308C">
      <w:pPr>
        <w:spacing w:after="0"/>
        <w:jc w:val="both"/>
      </w:pPr>
    </w:p>
    <w:p w:rsidR="002432B1" w:rsidRDefault="002432B1" w:rsidP="0001308C">
      <w:pPr>
        <w:spacing w:after="0"/>
        <w:ind w:firstLine="708"/>
        <w:jc w:val="both"/>
      </w:pPr>
      <w:r w:rsidRPr="002432B1">
        <w:t xml:space="preserve">Figura 2: Exemplo de figura utilizando o comando </w:t>
      </w:r>
      <w:r w:rsidRPr="002432B1">
        <w:rPr>
          <w:i/>
        </w:rPr>
        <w:t>\includegraphics</w:t>
      </w:r>
      <w:r w:rsidRPr="002432B1">
        <w:t>.</w:t>
      </w:r>
    </w:p>
    <w:p w:rsidR="002432B1" w:rsidRDefault="002432B1" w:rsidP="0001308C">
      <w:pPr>
        <w:spacing w:after="0"/>
        <w:jc w:val="both"/>
      </w:pPr>
    </w:p>
    <w:p w:rsidR="002432B1" w:rsidRDefault="002432B1" w:rsidP="0001308C">
      <w:pPr>
        <w:spacing w:after="0"/>
        <w:jc w:val="both"/>
      </w:pPr>
    </w:p>
    <w:p w:rsidR="002432B1" w:rsidRDefault="002432B1" w:rsidP="0001308C">
      <w:pPr>
        <w:spacing w:after="0"/>
        <w:jc w:val="both"/>
      </w:pPr>
      <w:r w:rsidRPr="002432B1">
        <w:t>Os seguintes comandos geram a Figura 2.</w:t>
      </w:r>
    </w:p>
    <w:p w:rsidR="002432B1" w:rsidRDefault="002432B1" w:rsidP="0001308C">
      <w:pPr>
        <w:spacing w:after="0"/>
        <w:jc w:val="both"/>
      </w:pPr>
    </w:p>
    <w:p w:rsidR="002432B1" w:rsidRDefault="002432B1" w:rsidP="0001308C">
      <w:pPr>
        <w:spacing w:after="0"/>
        <w:jc w:val="both"/>
      </w:pPr>
      <w:r>
        <w:t>\begin{figure}[h]</w:t>
      </w:r>
    </w:p>
    <w:p w:rsidR="002432B1" w:rsidRDefault="002432B1" w:rsidP="0001308C">
      <w:pPr>
        <w:spacing w:after="0"/>
        <w:jc w:val="both"/>
      </w:pPr>
      <w:r>
        <w:t>\centering</w:t>
      </w:r>
    </w:p>
    <w:p w:rsidR="002432B1" w:rsidRDefault="002432B1" w:rsidP="0001308C">
      <w:pPr>
        <w:spacing w:after="0"/>
        <w:jc w:val="both"/>
      </w:pPr>
      <w:r>
        <w:t>\scalebox{</w:t>
      </w:r>
      <w:proofErr w:type="gramStart"/>
      <w:r>
        <w:t>0.45}{</w:t>
      </w:r>
      <w:proofErr w:type="gramEnd"/>
      <w:r>
        <w:t>\includegraphics{fig2.eps}}</w:t>
      </w:r>
    </w:p>
    <w:p w:rsidR="002432B1" w:rsidRDefault="002432B1" w:rsidP="0001308C">
      <w:pPr>
        <w:spacing w:after="0"/>
        <w:jc w:val="both"/>
      </w:pPr>
      <w:r>
        <w:t>\</w:t>
      </w:r>
      <w:proofErr w:type="gramStart"/>
      <w:r>
        <w:t>caption{</w:t>
      </w:r>
      <w:proofErr w:type="gramEnd"/>
      <w:r>
        <w:t>Exemplo de figura utilizando o comando \includegraphics.}</w:t>
      </w:r>
    </w:p>
    <w:p w:rsidR="002432B1" w:rsidRDefault="002432B1" w:rsidP="0001308C">
      <w:pPr>
        <w:spacing w:after="0"/>
        <w:jc w:val="both"/>
      </w:pPr>
      <w:r>
        <w:t>\label{fig2}</w:t>
      </w:r>
    </w:p>
    <w:p w:rsidR="002432B1" w:rsidRDefault="002432B1" w:rsidP="0001308C">
      <w:pPr>
        <w:spacing w:after="0"/>
        <w:jc w:val="both"/>
      </w:pPr>
      <w:r>
        <w:t>\end{figure}</w:t>
      </w:r>
    </w:p>
    <w:p w:rsidR="002432B1" w:rsidRDefault="002432B1" w:rsidP="0001308C">
      <w:pPr>
        <w:spacing w:after="0"/>
        <w:jc w:val="both"/>
      </w:pPr>
    </w:p>
    <w:p w:rsidR="002432B1" w:rsidRDefault="002432B1" w:rsidP="0001308C">
      <w:pPr>
        <w:spacing w:after="0"/>
        <w:jc w:val="both"/>
      </w:pPr>
    </w:p>
    <w:p w:rsidR="002432B1" w:rsidRDefault="002432B1" w:rsidP="0001308C">
      <w:pPr>
        <w:spacing w:after="0"/>
        <w:jc w:val="both"/>
      </w:pPr>
    </w:p>
    <w:p w:rsidR="002432B1" w:rsidRDefault="002432B1" w:rsidP="0001308C">
      <w:pPr>
        <w:spacing w:after="0"/>
        <w:jc w:val="both"/>
      </w:pPr>
    </w:p>
    <w:p w:rsidR="002432B1" w:rsidRDefault="002432B1" w:rsidP="0001308C">
      <w:pPr>
        <w:spacing w:after="0"/>
        <w:jc w:val="both"/>
      </w:pPr>
    </w:p>
    <w:p w:rsidR="002432B1" w:rsidRDefault="002432B1" w:rsidP="0001308C">
      <w:pPr>
        <w:spacing w:after="0"/>
        <w:jc w:val="both"/>
      </w:pPr>
    </w:p>
    <w:p w:rsidR="002432B1" w:rsidRDefault="002432B1" w:rsidP="0001308C">
      <w:pPr>
        <w:spacing w:after="0"/>
        <w:jc w:val="both"/>
      </w:pPr>
    </w:p>
    <w:p w:rsidR="002432B1" w:rsidRDefault="002432B1" w:rsidP="0001308C">
      <w:pPr>
        <w:spacing w:after="0"/>
        <w:jc w:val="both"/>
      </w:pPr>
    </w:p>
    <w:p w:rsidR="002432B1" w:rsidRDefault="002432B1" w:rsidP="0001308C">
      <w:pPr>
        <w:spacing w:after="0"/>
        <w:jc w:val="both"/>
      </w:pPr>
    </w:p>
    <w:p w:rsidR="002432B1" w:rsidRDefault="002432B1" w:rsidP="0001308C">
      <w:pPr>
        <w:spacing w:after="0"/>
        <w:jc w:val="both"/>
      </w:pPr>
      <w:r>
        <w:t xml:space="preserve"> </w:t>
      </w:r>
      <w:r>
        <w:tab/>
      </w:r>
      <w:r>
        <w:tab/>
      </w:r>
      <w:r w:rsidRPr="002432B1">
        <w:t>(a) Figura a</w:t>
      </w:r>
      <w:r>
        <w:t xml:space="preserve">                                         </w:t>
      </w:r>
      <w:proofErr w:type="gramStart"/>
      <w:r>
        <w:t xml:space="preserve">  </w:t>
      </w:r>
      <w:r w:rsidRPr="002432B1">
        <w:t xml:space="preserve"> (</w:t>
      </w:r>
      <w:proofErr w:type="gramEnd"/>
      <w:r w:rsidRPr="002432B1">
        <w:t>b) Figura b</w:t>
      </w:r>
    </w:p>
    <w:p w:rsidR="002432B1" w:rsidRDefault="002432B1" w:rsidP="0001308C">
      <w:pPr>
        <w:spacing w:after="0"/>
        <w:jc w:val="both"/>
      </w:pPr>
    </w:p>
    <w:p w:rsidR="002432B1" w:rsidRDefault="002432B1" w:rsidP="0001308C">
      <w:pPr>
        <w:spacing w:after="0"/>
        <w:ind w:left="708" w:firstLine="708"/>
        <w:jc w:val="both"/>
      </w:pPr>
      <w:r w:rsidRPr="002432B1">
        <w:t>Figura 3: Exemplo do uso do pacote subfigure.</w:t>
      </w:r>
    </w:p>
    <w:p w:rsidR="002432B1" w:rsidRDefault="002432B1" w:rsidP="0001308C">
      <w:pPr>
        <w:spacing w:after="0"/>
        <w:ind w:left="708" w:firstLine="708"/>
        <w:jc w:val="both"/>
      </w:pPr>
    </w:p>
    <w:p w:rsidR="002432B1" w:rsidRDefault="002432B1" w:rsidP="0001308C">
      <w:pPr>
        <w:spacing w:after="0"/>
        <w:ind w:left="708" w:firstLine="708"/>
        <w:jc w:val="both"/>
      </w:pPr>
    </w:p>
    <w:p w:rsidR="002432B1" w:rsidRDefault="002432B1" w:rsidP="0001308C">
      <w:pPr>
        <w:spacing w:after="0"/>
        <w:jc w:val="both"/>
      </w:pPr>
      <w:r w:rsidRPr="002432B1">
        <w:t>Os seguintes comandos geram a Figura 3.</w:t>
      </w:r>
    </w:p>
    <w:p w:rsidR="002432B1" w:rsidRDefault="002432B1" w:rsidP="0001308C">
      <w:pPr>
        <w:spacing w:after="0"/>
        <w:jc w:val="both"/>
      </w:pPr>
    </w:p>
    <w:p w:rsidR="002432B1" w:rsidRDefault="002432B1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BX1000" w:hAnsi="SFBX1000" w:cs="SFBX1000"/>
          <w:sz w:val="20"/>
          <w:szCs w:val="20"/>
        </w:rPr>
      </w:pPr>
      <w:r>
        <w:rPr>
          <w:rFonts w:ascii="SFTT1000" w:hAnsi="SFTT1000" w:cs="SFTT1000"/>
          <w:sz w:val="20"/>
          <w:szCs w:val="20"/>
        </w:rPr>
        <w:t>\</w:t>
      </w:r>
      <w:r>
        <w:rPr>
          <w:rFonts w:ascii="SFBX1000" w:hAnsi="SFBX1000" w:cs="SFBX1000"/>
          <w:sz w:val="20"/>
          <w:szCs w:val="20"/>
        </w:rPr>
        <w:t>begin{figure}[h]</w:t>
      </w:r>
    </w:p>
    <w:p w:rsidR="002432B1" w:rsidRDefault="002432B1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BX1000" w:hAnsi="SFBX1000" w:cs="SFBX1000"/>
          <w:sz w:val="20"/>
          <w:szCs w:val="20"/>
        </w:rPr>
      </w:pPr>
      <w:r>
        <w:rPr>
          <w:rFonts w:ascii="SFTT1000" w:hAnsi="SFTT1000" w:cs="SFTT1000"/>
          <w:sz w:val="20"/>
          <w:szCs w:val="20"/>
        </w:rPr>
        <w:t>\</w:t>
      </w:r>
      <w:r>
        <w:rPr>
          <w:rFonts w:ascii="SFBX1000" w:hAnsi="SFBX1000" w:cs="SFBX1000"/>
          <w:sz w:val="20"/>
          <w:szCs w:val="20"/>
        </w:rPr>
        <w:t>centering</w:t>
      </w:r>
    </w:p>
    <w:p w:rsidR="002432B1" w:rsidRDefault="002432B1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BX1000" w:hAnsi="SFBX1000" w:cs="SFBX1000"/>
          <w:sz w:val="20"/>
          <w:szCs w:val="20"/>
        </w:rPr>
      </w:pPr>
      <w:r>
        <w:rPr>
          <w:rFonts w:ascii="SFTT1000" w:hAnsi="SFTT1000" w:cs="SFTT1000"/>
          <w:sz w:val="20"/>
          <w:szCs w:val="20"/>
        </w:rPr>
        <w:t>\</w:t>
      </w:r>
      <w:proofErr w:type="gramStart"/>
      <w:r>
        <w:rPr>
          <w:rFonts w:ascii="SFBX1000" w:hAnsi="SFBX1000" w:cs="SFBX1000"/>
          <w:sz w:val="20"/>
          <w:szCs w:val="20"/>
        </w:rPr>
        <w:t>subfigure[</w:t>
      </w:r>
      <w:proofErr w:type="gramEnd"/>
      <w:r>
        <w:rPr>
          <w:rFonts w:ascii="SFBX1000" w:hAnsi="SFBX1000" w:cs="SFBX1000"/>
          <w:sz w:val="20"/>
          <w:szCs w:val="20"/>
        </w:rPr>
        <w:t>Figura a]{</w:t>
      </w:r>
      <w:r>
        <w:rPr>
          <w:rFonts w:ascii="SFTT1000" w:hAnsi="SFTT1000" w:cs="SFTT1000"/>
          <w:sz w:val="20"/>
          <w:szCs w:val="20"/>
        </w:rPr>
        <w:t>\</w:t>
      </w:r>
      <w:r>
        <w:rPr>
          <w:rFonts w:ascii="SFBX1000" w:hAnsi="SFBX1000" w:cs="SFBX1000"/>
          <w:sz w:val="20"/>
          <w:szCs w:val="20"/>
        </w:rPr>
        <w:t>scalebox{1}{</w:t>
      </w:r>
      <w:r>
        <w:rPr>
          <w:rFonts w:ascii="SFTT1000" w:hAnsi="SFTT1000" w:cs="SFTT1000"/>
          <w:sz w:val="20"/>
          <w:szCs w:val="20"/>
        </w:rPr>
        <w:t>\</w:t>
      </w:r>
      <w:r>
        <w:rPr>
          <w:rFonts w:ascii="SFBX1000" w:hAnsi="SFBX1000" w:cs="SFBX1000"/>
          <w:sz w:val="20"/>
          <w:szCs w:val="20"/>
        </w:rPr>
        <w:t>includegraphics[height=4cm,</w:t>
      </w:r>
    </w:p>
    <w:p w:rsidR="002432B1" w:rsidRDefault="002432B1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BX1000" w:hAnsi="SFBX1000" w:cs="SFBX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>width=4cm]{fig1.eps}}}</w:t>
      </w:r>
    </w:p>
    <w:p w:rsidR="002432B1" w:rsidRDefault="002432B1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BX1000" w:hAnsi="SFBX1000" w:cs="SFBX1000"/>
          <w:sz w:val="20"/>
          <w:szCs w:val="20"/>
        </w:rPr>
      </w:pPr>
      <w:r>
        <w:rPr>
          <w:rFonts w:ascii="SFTT1000" w:hAnsi="SFTT1000" w:cs="SFTT1000"/>
          <w:sz w:val="20"/>
          <w:szCs w:val="20"/>
        </w:rPr>
        <w:t>\</w:t>
      </w:r>
      <w:r>
        <w:rPr>
          <w:rFonts w:ascii="SFBX1000" w:hAnsi="SFBX1000" w:cs="SFBX1000"/>
          <w:sz w:val="20"/>
          <w:szCs w:val="20"/>
        </w:rPr>
        <w:t>hspace1cm</w:t>
      </w:r>
    </w:p>
    <w:p w:rsidR="002432B1" w:rsidRDefault="002432B1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BX1000" w:hAnsi="SFBX1000" w:cs="SFBX1000"/>
          <w:sz w:val="20"/>
          <w:szCs w:val="20"/>
        </w:rPr>
      </w:pPr>
      <w:r>
        <w:rPr>
          <w:rFonts w:ascii="SFTT1000" w:hAnsi="SFTT1000" w:cs="SFTT1000"/>
          <w:sz w:val="20"/>
          <w:szCs w:val="20"/>
        </w:rPr>
        <w:t>\</w:t>
      </w:r>
      <w:proofErr w:type="gramStart"/>
      <w:r>
        <w:rPr>
          <w:rFonts w:ascii="SFBX1000" w:hAnsi="SFBX1000" w:cs="SFBX1000"/>
          <w:sz w:val="20"/>
          <w:szCs w:val="20"/>
        </w:rPr>
        <w:t>subfigure[</w:t>
      </w:r>
      <w:proofErr w:type="gramEnd"/>
      <w:r>
        <w:rPr>
          <w:rFonts w:ascii="SFBX1000" w:hAnsi="SFBX1000" w:cs="SFBX1000"/>
          <w:sz w:val="20"/>
          <w:szCs w:val="20"/>
        </w:rPr>
        <w:t>Figura b]{</w:t>
      </w:r>
      <w:r>
        <w:rPr>
          <w:rFonts w:ascii="SFTT1000" w:hAnsi="SFTT1000" w:cs="SFTT1000"/>
          <w:sz w:val="20"/>
          <w:szCs w:val="20"/>
        </w:rPr>
        <w:t>\</w:t>
      </w:r>
      <w:r>
        <w:rPr>
          <w:rFonts w:ascii="SFBX1000" w:hAnsi="SFBX1000" w:cs="SFBX1000"/>
          <w:sz w:val="20"/>
          <w:szCs w:val="20"/>
        </w:rPr>
        <w:t>scalebox{1}{</w:t>
      </w:r>
      <w:r>
        <w:rPr>
          <w:rFonts w:ascii="SFTT1000" w:hAnsi="SFTT1000" w:cs="SFTT1000"/>
          <w:sz w:val="20"/>
          <w:szCs w:val="20"/>
        </w:rPr>
        <w:t>\</w:t>
      </w:r>
      <w:r>
        <w:rPr>
          <w:rFonts w:ascii="SFBX1000" w:hAnsi="SFBX1000" w:cs="SFBX1000"/>
          <w:sz w:val="20"/>
          <w:szCs w:val="20"/>
        </w:rPr>
        <w:t>includegraphics[height=4cm,</w:t>
      </w:r>
    </w:p>
    <w:p w:rsidR="002432B1" w:rsidRDefault="002432B1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BX1000" w:hAnsi="SFBX1000" w:cs="SFBX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>width=4cm]{fig2.eps}}}</w:t>
      </w:r>
    </w:p>
    <w:p w:rsidR="002432B1" w:rsidRDefault="002432B1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BX1000" w:hAnsi="SFBX1000" w:cs="SFBX1000"/>
          <w:sz w:val="20"/>
          <w:szCs w:val="20"/>
        </w:rPr>
      </w:pPr>
      <w:r>
        <w:rPr>
          <w:rFonts w:ascii="SFTT1000" w:hAnsi="SFTT1000" w:cs="SFTT1000"/>
          <w:sz w:val="20"/>
          <w:szCs w:val="20"/>
        </w:rPr>
        <w:t>\</w:t>
      </w:r>
      <w:proofErr w:type="gramStart"/>
      <w:r>
        <w:rPr>
          <w:rFonts w:ascii="SFBX1000" w:hAnsi="SFBX1000" w:cs="SFBX1000"/>
          <w:sz w:val="20"/>
          <w:szCs w:val="20"/>
        </w:rPr>
        <w:t>caption{</w:t>
      </w:r>
      <w:proofErr w:type="gramEnd"/>
      <w:r>
        <w:rPr>
          <w:rFonts w:ascii="SFBX1000" w:hAnsi="SFBX1000" w:cs="SFBX1000"/>
          <w:sz w:val="20"/>
          <w:szCs w:val="20"/>
        </w:rPr>
        <w:t>Exemplo do uso do pacote subfigure.}</w:t>
      </w:r>
    </w:p>
    <w:p w:rsidR="002432B1" w:rsidRDefault="002432B1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BX1000" w:hAnsi="SFBX1000" w:cs="SFBX1000"/>
          <w:sz w:val="20"/>
          <w:szCs w:val="20"/>
        </w:rPr>
      </w:pPr>
      <w:r>
        <w:rPr>
          <w:rFonts w:ascii="SFTT1000" w:hAnsi="SFTT1000" w:cs="SFTT1000"/>
          <w:sz w:val="20"/>
          <w:szCs w:val="20"/>
        </w:rPr>
        <w:t>\</w:t>
      </w:r>
      <w:r>
        <w:rPr>
          <w:rFonts w:ascii="SFBX1000" w:hAnsi="SFBX1000" w:cs="SFBX1000"/>
          <w:sz w:val="20"/>
          <w:szCs w:val="20"/>
        </w:rPr>
        <w:t>label{fig3}</w:t>
      </w:r>
    </w:p>
    <w:p w:rsidR="002432B1" w:rsidRDefault="002432B1" w:rsidP="0001308C">
      <w:pPr>
        <w:spacing w:after="0"/>
        <w:jc w:val="both"/>
      </w:pPr>
      <w:r>
        <w:rPr>
          <w:rFonts w:ascii="SFTT1000" w:hAnsi="SFTT1000" w:cs="SFTT1000"/>
          <w:sz w:val="20"/>
          <w:szCs w:val="20"/>
        </w:rPr>
        <w:t>\</w:t>
      </w:r>
      <w:r>
        <w:rPr>
          <w:rFonts w:ascii="SFBX1000" w:hAnsi="SFBX1000" w:cs="SFBX1000"/>
          <w:sz w:val="20"/>
          <w:szCs w:val="20"/>
        </w:rPr>
        <w:t>end{figure}</w:t>
      </w:r>
    </w:p>
    <w:p w:rsidR="0058546E" w:rsidRDefault="0058546E" w:rsidP="0001308C">
      <w:pPr>
        <w:jc w:val="both"/>
      </w:pPr>
    </w:p>
    <w:p w:rsidR="002432B1" w:rsidRDefault="002432B1" w:rsidP="0001308C">
      <w:pPr>
        <w:jc w:val="both"/>
      </w:pPr>
    </w:p>
    <w:p w:rsidR="002432B1" w:rsidRDefault="002432B1" w:rsidP="0001308C">
      <w:pPr>
        <w:jc w:val="both"/>
      </w:pPr>
      <w:r>
        <w:lastRenderedPageBreak/>
        <w:t xml:space="preserve">      Os arquivos “fig1.eps” e “fig2.eps” que contém as figuras devem estar no mesmo diretório que o arquivo </w:t>
      </w:r>
      <w:proofErr w:type="gramStart"/>
      <w:r>
        <w:t>“.tex</w:t>
      </w:r>
      <w:proofErr w:type="gramEnd"/>
      <w:r>
        <w:t>”.</w:t>
      </w:r>
    </w:p>
    <w:p w:rsidR="002432B1" w:rsidRDefault="002432B1" w:rsidP="0001308C">
      <w:pPr>
        <w:jc w:val="both"/>
      </w:pPr>
      <w:r>
        <w:t xml:space="preserve">     A Tabela 1 é um exemplo de tabela.</w:t>
      </w:r>
    </w:p>
    <w:p w:rsidR="002432B1" w:rsidRDefault="002432B1" w:rsidP="0001308C">
      <w:pPr>
        <w:jc w:val="both"/>
      </w:pPr>
      <w:r>
        <w:tab/>
      </w:r>
      <w:r>
        <w:tab/>
        <w:t xml:space="preserve">    </w:t>
      </w:r>
      <w:r w:rsidRPr="002432B1">
        <w:t>Cuadro 1: Exemplo de tabela.</w:t>
      </w:r>
    </w:p>
    <w:tbl>
      <w:tblPr>
        <w:tblStyle w:val="Tablaconcuadrcula"/>
        <w:tblpPr w:leftFromText="141" w:rightFromText="141" w:vertAnchor="text" w:horzAnchor="page" w:tblpX="3194" w:tblpY="63"/>
        <w:tblW w:w="3256" w:type="dxa"/>
        <w:tblLook w:val="04A0" w:firstRow="1" w:lastRow="0" w:firstColumn="1" w:lastColumn="0" w:noHBand="0" w:noVBand="1"/>
      </w:tblPr>
      <w:tblGrid>
        <w:gridCol w:w="279"/>
        <w:gridCol w:w="850"/>
        <w:gridCol w:w="709"/>
        <w:gridCol w:w="709"/>
        <w:gridCol w:w="709"/>
      </w:tblGrid>
      <w:tr w:rsidR="002432B1" w:rsidTr="00365E4C">
        <w:trPr>
          <w:trHeight w:val="262"/>
        </w:trPr>
        <w:tc>
          <w:tcPr>
            <w:tcW w:w="279" w:type="dxa"/>
          </w:tcPr>
          <w:p w:rsidR="002432B1" w:rsidRDefault="002432B1" w:rsidP="0001308C">
            <w:pPr>
              <w:jc w:val="both"/>
            </w:pPr>
          </w:p>
        </w:tc>
        <w:tc>
          <w:tcPr>
            <w:tcW w:w="850" w:type="dxa"/>
          </w:tcPr>
          <w:p w:rsidR="002432B1" w:rsidRDefault="00365E4C" w:rsidP="0001308C">
            <w:pPr>
              <w:jc w:val="both"/>
            </w:pPr>
            <w:r>
              <w:t>A</w:t>
            </w:r>
          </w:p>
        </w:tc>
        <w:tc>
          <w:tcPr>
            <w:tcW w:w="709" w:type="dxa"/>
          </w:tcPr>
          <w:p w:rsidR="002432B1" w:rsidRDefault="00365E4C" w:rsidP="0001308C">
            <w:pPr>
              <w:jc w:val="both"/>
            </w:pPr>
            <w:r>
              <w:t>B</w:t>
            </w:r>
          </w:p>
        </w:tc>
        <w:tc>
          <w:tcPr>
            <w:tcW w:w="709" w:type="dxa"/>
          </w:tcPr>
          <w:p w:rsidR="002432B1" w:rsidRDefault="00365E4C" w:rsidP="0001308C">
            <w:pPr>
              <w:jc w:val="both"/>
            </w:pPr>
            <w:r>
              <w:t>C</w:t>
            </w:r>
          </w:p>
        </w:tc>
        <w:tc>
          <w:tcPr>
            <w:tcW w:w="709" w:type="dxa"/>
          </w:tcPr>
          <w:p w:rsidR="002432B1" w:rsidRDefault="00365E4C" w:rsidP="0001308C">
            <w:pPr>
              <w:jc w:val="both"/>
            </w:pPr>
            <w:r>
              <w:t>D</w:t>
            </w:r>
          </w:p>
        </w:tc>
      </w:tr>
    </w:tbl>
    <w:p w:rsidR="002432B1" w:rsidRDefault="002432B1" w:rsidP="0001308C">
      <w:pPr>
        <w:jc w:val="both"/>
      </w:pPr>
    </w:p>
    <w:tbl>
      <w:tblPr>
        <w:tblStyle w:val="Tablaconcuadrcula"/>
        <w:tblpPr w:leftFromText="141" w:rightFromText="141" w:vertAnchor="text" w:horzAnchor="page" w:tblpX="3194" w:tblpY="63"/>
        <w:tblW w:w="2910" w:type="dxa"/>
        <w:tblLook w:val="04A0" w:firstRow="1" w:lastRow="0" w:firstColumn="1" w:lastColumn="0" w:noHBand="0" w:noVBand="1"/>
      </w:tblPr>
      <w:tblGrid>
        <w:gridCol w:w="318"/>
        <w:gridCol w:w="774"/>
        <w:gridCol w:w="774"/>
        <w:gridCol w:w="672"/>
        <w:gridCol w:w="774"/>
      </w:tblGrid>
      <w:tr w:rsidR="00365E4C" w:rsidTr="00365E4C">
        <w:trPr>
          <w:trHeight w:val="262"/>
        </w:trPr>
        <w:tc>
          <w:tcPr>
            <w:tcW w:w="328" w:type="dxa"/>
          </w:tcPr>
          <w:p w:rsidR="00365E4C" w:rsidRPr="00365E4C" w:rsidRDefault="00365E4C" w:rsidP="0001308C">
            <w:pPr>
              <w:jc w:val="both"/>
              <w:rPr>
                <w:sz w:val="20"/>
              </w:rPr>
            </w:pPr>
            <w:r w:rsidRPr="00365E4C">
              <w:rPr>
                <w:sz w:val="20"/>
              </w:rPr>
              <w:t>0</w:t>
            </w:r>
          </w:p>
        </w:tc>
        <w:tc>
          <w:tcPr>
            <w:tcW w:w="607" w:type="dxa"/>
          </w:tcPr>
          <w:p w:rsidR="00365E4C" w:rsidRPr="00365E4C" w:rsidRDefault="00365E4C" w:rsidP="0001308C">
            <w:pPr>
              <w:jc w:val="both"/>
              <w:rPr>
                <w:sz w:val="20"/>
              </w:rPr>
            </w:pPr>
            <w:r w:rsidRPr="00365E4C">
              <w:rPr>
                <w:sz w:val="20"/>
              </w:rPr>
              <w:t>1.00</w:t>
            </w:r>
          </w:p>
        </w:tc>
        <w:tc>
          <w:tcPr>
            <w:tcW w:w="700" w:type="dxa"/>
          </w:tcPr>
          <w:p w:rsidR="00365E4C" w:rsidRPr="00365E4C" w:rsidRDefault="00365E4C" w:rsidP="0001308C">
            <w:pPr>
              <w:jc w:val="both"/>
              <w:rPr>
                <w:sz w:val="20"/>
              </w:rPr>
            </w:pPr>
            <w:r w:rsidRPr="00365E4C">
              <w:rPr>
                <w:sz w:val="20"/>
              </w:rPr>
              <w:t>2.00</w:t>
            </w:r>
          </w:p>
        </w:tc>
        <w:tc>
          <w:tcPr>
            <w:tcW w:w="1275" w:type="dxa"/>
            <w:gridSpan w:val="2"/>
          </w:tcPr>
          <w:p w:rsidR="00365E4C" w:rsidRPr="00365E4C" w:rsidRDefault="00365E4C" w:rsidP="0001308C">
            <w:pPr>
              <w:jc w:val="both"/>
              <w:rPr>
                <w:sz w:val="20"/>
              </w:rPr>
            </w:pPr>
            <w:r w:rsidRPr="00365E4C">
              <w:rPr>
                <w:sz w:val="20"/>
              </w:rPr>
              <w:t>7.0</w:t>
            </w:r>
          </w:p>
        </w:tc>
      </w:tr>
      <w:tr w:rsidR="00365E4C" w:rsidTr="00365E4C">
        <w:trPr>
          <w:trHeight w:val="262"/>
        </w:trPr>
        <w:tc>
          <w:tcPr>
            <w:tcW w:w="328" w:type="dxa"/>
          </w:tcPr>
          <w:p w:rsidR="00365E4C" w:rsidRPr="00365E4C" w:rsidRDefault="00365E4C" w:rsidP="0001308C">
            <w:pPr>
              <w:jc w:val="both"/>
              <w:rPr>
                <w:sz w:val="20"/>
              </w:rPr>
            </w:pPr>
            <w:r w:rsidRPr="00365E4C">
              <w:rPr>
                <w:sz w:val="20"/>
              </w:rPr>
              <w:t>1</w:t>
            </w:r>
          </w:p>
        </w:tc>
        <w:tc>
          <w:tcPr>
            <w:tcW w:w="607" w:type="dxa"/>
          </w:tcPr>
          <w:p w:rsidR="00365E4C" w:rsidRPr="00365E4C" w:rsidRDefault="00365E4C" w:rsidP="0001308C">
            <w:pPr>
              <w:jc w:val="both"/>
              <w:rPr>
                <w:sz w:val="20"/>
              </w:rPr>
            </w:pPr>
            <w:r w:rsidRPr="00365E4C">
              <w:rPr>
                <w:sz w:val="20"/>
              </w:rPr>
              <w:t>1.000</w:t>
            </w:r>
          </w:p>
        </w:tc>
        <w:tc>
          <w:tcPr>
            <w:tcW w:w="700" w:type="dxa"/>
          </w:tcPr>
          <w:p w:rsidR="00365E4C" w:rsidRPr="00365E4C" w:rsidRDefault="00365E4C" w:rsidP="0001308C">
            <w:pPr>
              <w:jc w:val="both"/>
              <w:rPr>
                <w:sz w:val="20"/>
              </w:rPr>
            </w:pPr>
            <w:r w:rsidRPr="00365E4C">
              <w:rPr>
                <w:sz w:val="20"/>
              </w:rPr>
              <w:t>2.000</w:t>
            </w:r>
          </w:p>
        </w:tc>
        <w:tc>
          <w:tcPr>
            <w:tcW w:w="725" w:type="dxa"/>
          </w:tcPr>
          <w:p w:rsidR="00365E4C" w:rsidRPr="00365E4C" w:rsidRDefault="00365E4C" w:rsidP="0001308C">
            <w:pPr>
              <w:jc w:val="both"/>
              <w:rPr>
                <w:sz w:val="20"/>
              </w:rPr>
            </w:pPr>
            <w:r w:rsidRPr="00365E4C">
              <w:rPr>
                <w:sz w:val="20"/>
              </w:rPr>
              <w:t>3.000</w:t>
            </w:r>
          </w:p>
        </w:tc>
        <w:tc>
          <w:tcPr>
            <w:tcW w:w="550" w:type="dxa"/>
          </w:tcPr>
          <w:p w:rsidR="00365E4C" w:rsidRPr="00365E4C" w:rsidRDefault="00365E4C" w:rsidP="0001308C">
            <w:pPr>
              <w:jc w:val="both"/>
              <w:rPr>
                <w:sz w:val="20"/>
              </w:rPr>
            </w:pPr>
            <w:r w:rsidRPr="00365E4C">
              <w:rPr>
                <w:sz w:val="20"/>
              </w:rPr>
              <w:t>4.000</w:t>
            </w:r>
          </w:p>
        </w:tc>
      </w:tr>
      <w:tr w:rsidR="00365E4C" w:rsidTr="00365E4C">
        <w:trPr>
          <w:trHeight w:val="262"/>
        </w:trPr>
        <w:tc>
          <w:tcPr>
            <w:tcW w:w="328" w:type="dxa"/>
          </w:tcPr>
          <w:p w:rsidR="00365E4C" w:rsidRPr="00365E4C" w:rsidRDefault="00365E4C" w:rsidP="0001308C">
            <w:pPr>
              <w:jc w:val="both"/>
              <w:rPr>
                <w:sz w:val="20"/>
              </w:rPr>
            </w:pPr>
            <w:r w:rsidRPr="00365E4C">
              <w:rPr>
                <w:sz w:val="20"/>
              </w:rPr>
              <w:t>2</w:t>
            </w:r>
          </w:p>
        </w:tc>
        <w:tc>
          <w:tcPr>
            <w:tcW w:w="607" w:type="dxa"/>
          </w:tcPr>
          <w:p w:rsidR="00365E4C" w:rsidRPr="00365E4C" w:rsidRDefault="00365E4C" w:rsidP="0001308C">
            <w:pPr>
              <w:jc w:val="both"/>
              <w:rPr>
                <w:sz w:val="20"/>
              </w:rPr>
            </w:pPr>
            <w:r>
              <w:rPr>
                <w:sz w:val="20"/>
              </w:rPr>
              <w:t>1.0000</w:t>
            </w:r>
          </w:p>
        </w:tc>
        <w:tc>
          <w:tcPr>
            <w:tcW w:w="700" w:type="dxa"/>
          </w:tcPr>
          <w:p w:rsidR="00365E4C" w:rsidRPr="00365E4C" w:rsidRDefault="00365E4C" w:rsidP="0001308C">
            <w:pPr>
              <w:jc w:val="both"/>
              <w:rPr>
                <w:sz w:val="20"/>
              </w:rPr>
            </w:pPr>
            <w:r>
              <w:rPr>
                <w:sz w:val="20"/>
              </w:rPr>
              <w:t>2.0000</w:t>
            </w:r>
          </w:p>
        </w:tc>
        <w:tc>
          <w:tcPr>
            <w:tcW w:w="725" w:type="dxa"/>
          </w:tcPr>
          <w:p w:rsidR="00365E4C" w:rsidRPr="00365E4C" w:rsidRDefault="00365E4C" w:rsidP="0001308C">
            <w:pPr>
              <w:jc w:val="both"/>
              <w:rPr>
                <w:sz w:val="20"/>
              </w:rPr>
            </w:pPr>
            <w:r>
              <w:rPr>
                <w:sz w:val="20"/>
              </w:rPr>
              <w:t>3.00</w:t>
            </w:r>
          </w:p>
        </w:tc>
        <w:tc>
          <w:tcPr>
            <w:tcW w:w="550" w:type="dxa"/>
          </w:tcPr>
          <w:p w:rsidR="00365E4C" w:rsidRPr="00365E4C" w:rsidRDefault="00365E4C" w:rsidP="0001308C">
            <w:pPr>
              <w:jc w:val="both"/>
              <w:rPr>
                <w:sz w:val="20"/>
              </w:rPr>
            </w:pPr>
            <w:r>
              <w:rPr>
                <w:sz w:val="20"/>
              </w:rPr>
              <w:t>4.0000</w:t>
            </w:r>
          </w:p>
        </w:tc>
      </w:tr>
    </w:tbl>
    <w:p w:rsidR="00365E4C" w:rsidRDefault="00365E4C" w:rsidP="0001308C">
      <w:pPr>
        <w:jc w:val="both"/>
      </w:pPr>
      <w:r>
        <w:tab/>
      </w:r>
    </w:p>
    <w:p w:rsidR="00365E4C" w:rsidRDefault="00365E4C" w:rsidP="0001308C">
      <w:pPr>
        <w:jc w:val="both"/>
      </w:pPr>
    </w:p>
    <w:p w:rsidR="00365E4C" w:rsidRDefault="00365E4C" w:rsidP="0001308C">
      <w:pPr>
        <w:jc w:val="both"/>
      </w:pPr>
    </w:p>
    <w:p w:rsidR="00365E4C" w:rsidRPr="00365E4C" w:rsidRDefault="00365E4C" w:rsidP="0001308C">
      <w:pPr>
        <w:jc w:val="both"/>
        <w:rPr>
          <w:b/>
        </w:rPr>
      </w:pPr>
      <w:r w:rsidRPr="00365E4C">
        <w:rPr>
          <w:b/>
        </w:rPr>
        <w:t>5.. Algumas Padronizações</w:t>
      </w:r>
    </w:p>
    <w:p w:rsidR="00365E4C" w:rsidRDefault="00365E4C" w:rsidP="0001308C">
      <w:pPr>
        <w:jc w:val="both"/>
      </w:pPr>
      <w:r>
        <w:t xml:space="preserve">      - Numerar apenas as equações a serem referenciadas.</w:t>
      </w:r>
    </w:p>
    <w:p w:rsidR="00365E4C" w:rsidRDefault="00365E4C" w:rsidP="0001308C">
      <w:pPr>
        <w:jc w:val="both"/>
      </w:pPr>
      <w:r>
        <w:t>- Para centralizar equações utilizar os comandos:</w:t>
      </w:r>
    </w:p>
    <w:p w:rsidR="00365E4C" w:rsidRDefault="00365E4C" w:rsidP="0001308C">
      <w:pPr>
        <w:ind w:firstLine="708"/>
        <w:jc w:val="both"/>
        <w:rPr>
          <w:b/>
        </w:rPr>
      </w:pPr>
      <w:r w:rsidRPr="00365E4C">
        <w:rPr>
          <w:b/>
        </w:rPr>
        <w:t>\begin{equation*} equação \end{equation*}</w:t>
      </w:r>
    </w:p>
    <w:p w:rsidR="00365E4C" w:rsidRPr="00365E4C" w:rsidRDefault="00365E4C" w:rsidP="0001308C">
      <w:pPr>
        <w:ind w:firstLine="708"/>
        <w:jc w:val="both"/>
        <w:rPr>
          <w:b/>
        </w:rPr>
      </w:pPr>
    </w:p>
    <w:p w:rsidR="00365E4C" w:rsidRDefault="00365E4C" w:rsidP="0001308C">
      <w:pPr>
        <w:jc w:val="both"/>
      </w:pPr>
      <w:r>
        <w:t xml:space="preserve">ou, simplesmente, </w:t>
      </w:r>
      <w:proofErr w:type="gramStart"/>
      <w:r>
        <w:t>\[</w:t>
      </w:r>
      <w:proofErr w:type="gramEnd"/>
      <w:r>
        <w:t xml:space="preserve"> equação \]</w:t>
      </w:r>
    </w:p>
    <w:p w:rsidR="002432B1" w:rsidRDefault="00365E4C" w:rsidP="0001308C">
      <w:pPr>
        <w:jc w:val="both"/>
      </w:pPr>
      <w:r>
        <w:t>Estes comandos centralizam e não numeram as equações.</w:t>
      </w:r>
    </w:p>
    <w:p w:rsidR="00365E4C" w:rsidRDefault="00365E4C" w:rsidP="0001308C">
      <w:pPr>
        <w:jc w:val="both"/>
      </w:pPr>
      <w:r>
        <w:t xml:space="preserve">- Para fazer referência a uma equação, utilizar a combinação de comandos </w:t>
      </w:r>
      <w:r w:rsidRPr="00365E4C">
        <w:rPr>
          <w:b/>
        </w:rPr>
        <w:t>\</w:t>
      </w:r>
      <w:proofErr w:type="gramStart"/>
      <w:r w:rsidRPr="00365E4C">
        <w:rPr>
          <w:b/>
        </w:rPr>
        <w:t>label{</w:t>
      </w:r>
      <w:proofErr w:type="gramEnd"/>
      <w:r w:rsidRPr="00365E4C">
        <w:rPr>
          <w:b/>
        </w:rPr>
        <w:t>}</w:t>
      </w:r>
      <w:r>
        <w:t xml:space="preserve"> e </w:t>
      </w:r>
      <w:r w:rsidRPr="00365E4C">
        <w:rPr>
          <w:b/>
        </w:rPr>
        <w:t>\ref{}</w:t>
      </w:r>
      <w:r>
        <w:t xml:space="preserve"> da seguinte forma:</w:t>
      </w:r>
    </w:p>
    <w:p w:rsidR="00365E4C" w:rsidRPr="00365E4C" w:rsidRDefault="00365E4C" w:rsidP="0001308C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SFBX1000" w:hAnsi="SFBX1000" w:cs="SFBX1000"/>
          <w:b/>
          <w:sz w:val="20"/>
          <w:szCs w:val="20"/>
        </w:rPr>
      </w:pPr>
      <w:r w:rsidRPr="00365E4C">
        <w:rPr>
          <w:rFonts w:ascii="SFTT1000" w:hAnsi="SFTT1000" w:cs="SFTT1000"/>
          <w:b/>
          <w:sz w:val="20"/>
          <w:szCs w:val="20"/>
        </w:rPr>
        <w:t>\</w:t>
      </w:r>
      <w:r w:rsidRPr="00365E4C">
        <w:rPr>
          <w:rFonts w:ascii="SFBX1000" w:hAnsi="SFBX1000" w:cs="SFBX1000"/>
          <w:b/>
          <w:sz w:val="20"/>
          <w:szCs w:val="20"/>
        </w:rPr>
        <w:t xml:space="preserve">begin{equation} </w:t>
      </w:r>
      <w:r w:rsidRPr="00365E4C">
        <w:rPr>
          <w:rFonts w:ascii="SFTT1000" w:hAnsi="SFTT1000" w:cs="SFTT1000"/>
          <w:b/>
          <w:sz w:val="20"/>
          <w:szCs w:val="20"/>
        </w:rPr>
        <w:t>\</w:t>
      </w:r>
      <w:r w:rsidRPr="00365E4C">
        <w:rPr>
          <w:rFonts w:ascii="SFBX1000" w:hAnsi="SFBX1000" w:cs="SFBX1000"/>
          <w:b/>
          <w:sz w:val="20"/>
          <w:szCs w:val="20"/>
        </w:rPr>
        <w:t>label {equaX}</w:t>
      </w:r>
    </w:p>
    <w:p w:rsidR="00365E4C" w:rsidRPr="00365E4C" w:rsidRDefault="00365E4C" w:rsidP="0001308C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SFRM1000" w:hAnsi="SFRM1000" w:cs="SFRM1000"/>
          <w:sz w:val="20"/>
          <w:szCs w:val="20"/>
        </w:rPr>
      </w:pPr>
      <w:r w:rsidRPr="00365E4C">
        <w:rPr>
          <w:rFonts w:ascii="SFRM1000" w:hAnsi="SFRM1000" w:cs="SFRM1000"/>
          <w:sz w:val="20"/>
          <w:szCs w:val="20"/>
        </w:rPr>
        <w:t xml:space="preserve">           digite aqui a equação</w:t>
      </w:r>
    </w:p>
    <w:p w:rsidR="00365E4C" w:rsidRDefault="00365E4C" w:rsidP="0001308C">
      <w:pPr>
        <w:ind w:left="1416"/>
        <w:jc w:val="both"/>
        <w:rPr>
          <w:rFonts w:ascii="SFBX1000" w:hAnsi="SFBX1000" w:cs="SFBX1000"/>
          <w:b/>
          <w:sz w:val="20"/>
          <w:szCs w:val="20"/>
        </w:rPr>
      </w:pPr>
      <w:r w:rsidRPr="00365E4C">
        <w:rPr>
          <w:rFonts w:ascii="SFTT1000" w:hAnsi="SFTT1000" w:cs="SFTT1000"/>
          <w:b/>
          <w:sz w:val="20"/>
          <w:szCs w:val="20"/>
        </w:rPr>
        <w:t>\</w:t>
      </w:r>
      <w:r w:rsidRPr="00365E4C">
        <w:rPr>
          <w:rFonts w:ascii="SFBX1000" w:hAnsi="SFBX1000" w:cs="SFBX1000"/>
          <w:b/>
          <w:sz w:val="20"/>
          <w:szCs w:val="20"/>
        </w:rPr>
        <w:t>end{equation}</w:t>
      </w:r>
    </w:p>
    <w:p w:rsidR="00365E4C" w:rsidRDefault="00365E4C" w:rsidP="0001308C">
      <w:pPr>
        <w:ind w:left="1416"/>
        <w:jc w:val="both"/>
        <w:rPr>
          <w:rFonts w:ascii="SFBX1000" w:hAnsi="SFBX1000" w:cs="SFBX1000"/>
          <w:b/>
          <w:sz w:val="20"/>
          <w:szCs w:val="20"/>
        </w:rPr>
      </w:pPr>
    </w:p>
    <w:p w:rsidR="00365E4C" w:rsidRDefault="00365E4C" w:rsidP="0001308C">
      <w:pPr>
        <w:jc w:val="both"/>
      </w:pPr>
      <w:r w:rsidRPr="00365E4C">
        <w:t xml:space="preserve">A equação </w:t>
      </w:r>
      <w:r w:rsidRPr="00365E4C">
        <w:rPr>
          <w:b/>
        </w:rPr>
        <w:t>(\ref{equaX})</w:t>
      </w:r>
      <w:r w:rsidRPr="00365E4C">
        <w:t xml:space="preserve"> é usada para mostrar que ...</w:t>
      </w:r>
    </w:p>
    <w:p w:rsidR="00365E4C" w:rsidRDefault="00365E4C" w:rsidP="0001308C">
      <w:pPr>
        <w:jc w:val="both"/>
      </w:pPr>
      <w:r>
        <w:t>- Evitar o uso excessivo de subseções.</w:t>
      </w:r>
    </w:p>
    <w:p w:rsidR="00365E4C" w:rsidRDefault="00365E4C" w:rsidP="0001308C">
      <w:pPr>
        <w:jc w:val="both"/>
      </w:pPr>
      <w:r>
        <w:t xml:space="preserve">- Definições, lemas, proposições, teoremas, etc. devem ser numerados de acordó com a seção onde estão inseridos. Há comandos pré-definidos para sua numeração automática, são eles: </w:t>
      </w:r>
      <w:r w:rsidRPr="00365E4C">
        <w:rPr>
          <w:b/>
        </w:rPr>
        <w:t>defTEMAi</w:t>
      </w:r>
      <w:r>
        <w:t xml:space="preserve">, </w:t>
      </w:r>
      <w:r w:rsidRPr="00365E4C">
        <w:rPr>
          <w:b/>
        </w:rPr>
        <w:t>lemmaTEMA</w:t>
      </w:r>
      <w:r>
        <w:t xml:space="preserve">, </w:t>
      </w:r>
      <w:r w:rsidRPr="00365E4C">
        <w:rPr>
          <w:b/>
        </w:rPr>
        <w:t xml:space="preserve">thmTEMA </w:t>
      </w:r>
      <w:r>
        <w:t xml:space="preserve">e </w:t>
      </w:r>
      <w:r w:rsidRPr="00365E4C">
        <w:rPr>
          <w:b/>
        </w:rPr>
        <w:t>coroTEMAi</w:t>
      </w:r>
      <w:r>
        <w:t>, para artigos em inglês, e</w:t>
      </w:r>
      <w:r w:rsidRPr="00365E4C">
        <w:rPr>
          <w:b/>
        </w:rPr>
        <w:t xml:space="preserve"> defTEMAp</w:t>
      </w:r>
      <w:r>
        <w:t xml:space="preserve">, </w:t>
      </w:r>
      <w:r w:rsidRPr="00365E4C">
        <w:rPr>
          <w:b/>
        </w:rPr>
        <w:t>lemaTEMA</w:t>
      </w:r>
      <w:r>
        <w:t xml:space="preserve">, </w:t>
      </w:r>
      <w:r w:rsidRPr="00365E4C">
        <w:rPr>
          <w:b/>
        </w:rPr>
        <w:t>teoTEMA</w:t>
      </w:r>
      <w:r>
        <w:t xml:space="preserve"> e </w:t>
      </w:r>
      <w:r w:rsidRPr="00365E4C">
        <w:rPr>
          <w:b/>
        </w:rPr>
        <w:t>coroTEMAp</w:t>
      </w:r>
      <w:r>
        <w:t xml:space="preserve">, para artigos em português. Para início e fim de demonstração utilize os comandos </w:t>
      </w:r>
      <w:r w:rsidRPr="00365E4C">
        <w:rPr>
          <w:b/>
        </w:rPr>
        <w:t>\begin{proof}</w:t>
      </w:r>
      <w:r>
        <w:t xml:space="preserve"> e </w:t>
      </w:r>
      <w:r w:rsidRPr="00365E4C">
        <w:rPr>
          <w:b/>
        </w:rPr>
        <w:t>\end{proof}</w:t>
      </w:r>
      <w:r>
        <w:t xml:space="preserve"> respectivamente. Por exemplo, o procedimento</w:t>
      </w:r>
    </w:p>
    <w:p w:rsidR="00365E4C" w:rsidRDefault="00365E4C" w:rsidP="0001308C">
      <w:pPr>
        <w:jc w:val="both"/>
      </w:pPr>
    </w:p>
    <w:p w:rsidR="00365E4C" w:rsidRPr="00365E4C" w:rsidRDefault="00365E4C" w:rsidP="0001308C">
      <w:pPr>
        <w:spacing w:after="0"/>
        <w:ind w:left="708"/>
        <w:jc w:val="both"/>
        <w:rPr>
          <w:b/>
        </w:rPr>
      </w:pPr>
      <w:r w:rsidRPr="00365E4C">
        <w:rPr>
          <w:b/>
        </w:rPr>
        <w:t>\begin{teoTEMA</w:t>
      </w:r>
      <w:proofErr w:type="gramStart"/>
      <w:r w:rsidRPr="00365E4C">
        <w:rPr>
          <w:b/>
        </w:rPr>
        <w:t>}[</w:t>
      </w:r>
      <w:proofErr w:type="gramEnd"/>
      <w:r w:rsidRPr="00365E4C">
        <w:rPr>
          <w:b/>
        </w:rPr>
        <w:t>Desigualdade triangular]</w:t>
      </w:r>
    </w:p>
    <w:p w:rsidR="00365E4C" w:rsidRDefault="00365E4C" w:rsidP="0001308C">
      <w:pPr>
        <w:spacing w:after="0"/>
        <w:ind w:left="708"/>
        <w:jc w:val="both"/>
      </w:pPr>
      <w:r>
        <w:t xml:space="preserve">       \label {teoDT}</w:t>
      </w:r>
    </w:p>
    <w:p w:rsidR="00365E4C" w:rsidRDefault="00365E4C" w:rsidP="0001308C">
      <w:pPr>
        <w:spacing w:after="0"/>
        <w:ind w:left="708"/>
        <w:jc w:val="both"/>
      </w:pPr>
      <w:r>
        <w:t xml:space="preserve">        Se $a$, $b$ são números reais quaisquer, então</w:t>
      </w:r>
    </w:p>
    <w:p w:rsidR="00365E4C" w:rsidRDefault="00365E4C" w:rsidP="0001308C">
      <w:pPr>
        <w:spacing w:after="0"/>
        <w:ind w:left="708"/>
        <w:jc w:val="both"/>
      </w:pPr>
      <w:r>
        <w:t xml:space="preserve">        </w:t>
      </w:r>
      <w:proofErr w:type="gramStart"/>
      <w:r>
        <w:t>\[</w:t>
      </w:r>
      <w:proofErr w:type="gramEnd"/>
      <w:r>
        <w:t xml:space="preserve"> </w:t>
      </w:r>
      <w:r w:rsidRPr="00365E4C">
        <w:t>|</w:t>
      </w:r>
      <w:r>
        <w:t>a+b</w:t>
      </w:r>
      <w:r w:rsidRPr="00365E4C">
        <w:t>|</w:t>
      </w:r>
      <w:r>
        <w:t xml:space="preserve"> \leq </w:t>
      </w:r>
      <w:r w:rsidRPr="00365E4C">
        <w:t>|</w:t>
      </w:r>
      <w:r>
        <w:t>a</w:t>
      </w:r>
      <w:r w:rsidRPr="00365E4C">
        <w:t>|</w:t>
      </w:r>
      <w:r>
        <w:t xml:space="preserve"> + </w:t>
      </w:r>
      <w:r w:rsidRPr="00365E4C">
        <w:t>|</w:t>
      </w:r>
      <w:r>
        <w:t>b</w:t>
      </w:r>
      <w:r w:rsidRPr="00365E4C">
        <w:t>|</w:t>
      </w:r>
      <w:r>
        <w:t xml:space="preserve"> \].</w:t>
      </w:r>
    </w:p>
    <w:p w:rsidR="00365E4C" w:rsidRPr="00365E4C" w:rsidRDefault="00365E4C" w:rsidP="0001308C">
      <w:pPr>
        <w:spacing w:after="0"/>
        <w:ind w:left="708"/>
        <w:jc w:val="both"/>
        <w:rPr>
          <w:b/>
        </w:rPr>
      </w:pPr>
      <w:r w:rsidRPr="00365E4C">
        <w:rPr>
          <w:b/>
        </w:rPr>
        <w:t>\end{teoTEMA}</w:t>
      </w:r>
    </w:p>
    <w:p w:rsidR="00365E4C" w:rsidRDefault="00365E4C" w:rsidP="0001308C">
      <w:pPr>
        <w:spacing w:after="0"/>
        <w:jc w:val="both"/>
      </w:pPr>
      <w:r w:rsidRPr="00365E4C">
        <w:rPr>
          <w:b/>
        </w:rPr>
        <w:t>\begin{proof}</w:t>
      </w:r>
      <w:r>
        <w:t xml:space="preserve"> Coloque aqui a demonstração. \end{proof}</w:t>
      </w:r>
    </w:p>
    <w:p w:rsidR="00365E4C" w:rsidRDefault="00365E4C" w:rsidP="0001308C">
      <w:pPr>
        <w:spacing w:after="0"/>
        <w:jc w:val="both"/>
      </w:pPr>
    </w:p>
    <w:p w:rsidR="00365E4C" w:rsidRDefault="00365E4C" w:rsidP="0001308C">
      <w:pPr>
        <w:spacing w:after="0"/>
        <w:jc w:val="both"/>
      </w:pPr>
      <w:r>
        <w:lastRenderedPageBreak/>
        <w:t>produzirá em Português:</w:t>
      </w:r>
    </w:p>
    <w:p w:rsidR="00365E4C" w:rsidRDefault="00365E4C" w:rsidP="0001308C">
      <w:pPr>
        <w:spacing w:after="0"/>
        <w:jc w:val="both"/>
      </w:pPr>
    </w:p>
    <w:p w:rsidR="00365E4C" w:rsidRDefault="00365E4C" w:rsidP="0001308C">
      <w:pPr>
        <w:spacing w:after="0"/>
        <w:jc w:val="both"/>
      </w:pPr>
      <w:r w:rsidRPr="00365E4C">
        <w:rPr>
          <w:b/>
        </w:rPr>
        <w:t>Teorema 5.1</w:t>
      </w:r>
      <w:r>
        <w:t xml:space="preserve"> (Desigualdade triangular). </w:t>
      </w:r>
      <w:r w:rsidRPr="0064718F">
        <w:rPr>
          <w:i/>
        </w:rPr>
        <w:t>Se a, b são números reais quaisquer, então</w:t>
      </w:r>
    </w:p>
    <w:p w:rsidR="00365E4C" w:rsidRDefault="00365E4C" w:rsidP="0001308C">
      <w:pPr>
        <w:spacing w:after="0"/>
        <w:jc w:val="both"/>
      </w:pPr>
    </w:p>
    <w:p w:rsidR="00365E4C" w:rsidRDefault="00365E4C" w:rsidP="0001308C">
      <w:pPr>
        <w:spacing w:after="0"/>
        <w:jc w:val="both"/>
        <w:rPr>
          <w:rFonts w:eastAsiaTheme="minorEastAsia"/>
        </w:rPr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a+b </m:t>
            </m:r>
          </m:e>
        </m:d>
        <m:r>
          <w:rPr>
            <w:rFonts w:ascii="Cambria Math" w:hAnsi="Cambria Math"/>
          </w:rPr>
          <m:t xml:space="preserve">≤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a </m:t>
            </m:r>
          </m:e>
        </m:d>
        <m:r>
          <w:rPr>
            <w:rFonts w:ascii="Cambria Math" w:hAnsi="Cambria Math"/>
          </w:rPr>
          <m:t xml:space="preserve">+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b </m:t>
            </m:r>
          </m:e>
        </m:d>
        <m:r>
          <w:rPr>
            <w:rFonts w:ascii="Cambria Math" w:hAnsi="Cambria Math"/>
          </w:rPr>
          <m:t xml:space="preserve">. </m:t>
        </m:r>
      </m:oMath>
    </w:p>
    <w:p w:rsidR="0064718F" w:rsidRDefault="0064718F" w:rsidP="0001308C">
      <w:pPr>
        <w:spacing w:after="0"/>
        <w:jc w:val="both"/>
        <w:rPr>
          <w:rFonts w:eastAsiaTheme="minorEastAsia"/>
        </w:rPr>
      </w:pPr>
    </w:p>
    <w:p w:rsidR="0064718F" w:rsidRDefault="0064718F" w:rsidP="0001308C">
      <w:pPr>
        <w:spacing w:after="0"/>
        <w:jc w:val="both"/>
      </w:pPr>
      <w:r w:rsidRPr="0064718F">
        <w:rPr>
          <w:i/>
        </w:rPr>
        <w:t>Demostración</w:t>
      </w:r>
      <w:r w:rsidRPr="0064718F">
        <w:t>. Coloque aqui a demonstração.</w:t>
      </w:r>
    </w:p>
    <w:p w:rsidR="0064718F" w:rsidRDefault="0064718F" w:rsidP="0001308C">
      <w:pPr>
        <w:spacing w:after="0"/>
        <w:jc w:val="both"/>
      </w:pPr>
    </w:p>
    <w:p w:rsidR="0064718F" w:rsidRDefault="0064718F" w:rsidP="0001308C">
      <w:pPr>
        <w:spacing w:after="0"/>
        <w:jc w:val="both"/>
      </w:pPr>
      <w:r w:rsidRPr="0064718F">
        <w:t xml:space="preserve">Em Inglês a palavra </w:t>
      </w:r>
      <w:r w:rsidRPr="0064718F">
        <w:rPr>
          <w:i/>
        </w:rPr>
        <w:t>Demonstração</w:t>
      </w:r>
      <w:r w:rsidRPr="0064718F">
        <w:t xml:space="preserve">. será substituída automaticamente por </w:t>
      </w:r>
      <w:r w:rsidRPr="0064718F">
        <w:rPr>
          <w:i/>
        </w:rPr>
        <w:t>Proof</w:t>
      </w:r>
      <w:r w:rsidRPr="0064718F">
        <w:t>.</w:t>
      </w:r>
    </w:p>
    <w:p w:rsidR="0064718F" w:rsidRDefault="0064718F" w:rsidP="0001308C">
      <w:pPr>
        <w:spacing w:after="0"/>
        <w:jc w:val="both"/>
      </w:pPr>
    </w:p>
    <w:p w:rsidR="0064718F" w:rsidRDefault="0064718F" w:rsidP="0001308C">
      <w:pPr>
        <w:spacing w:after="0"/>
        <w:jc w:val="both"/>
      </w:pPr>
      <w:r>
        <w:t xml:space="preserve">       </w:t>
      </w:r>
      <w:r w:rsidRPr="0064718F">
        <w:t>Temos como corolário deste teorema</w:t>
      </w:r>
    </w:p>
    <w:p w:rsidR="0064718F" w:rsidRDefault="0064718F" w:rsidP="0001308C">
      <w:pPr>
        <w:spacing w:after="0"/>
        <w:jc w:val="both"/>
      </w:pPr>
    </w:p>
    <w:p w:rsidR="0064718F" w:rsidRDefault="0064718F" w:rsidP="0001308C">
      <w:pPr>
        <w:spacing w:after="0"/>
        <w:jc w:val="both"/>
      </w:pPr>
      <w:r w:rsidRPr="0064718F">
        <w:rPr>
          <w:b/>
        </w:rPr>
        <w:t>Corolário 5.1.1.</w:t>
      </w:r>
      <w:r>
        <w:rPr>
          <w:b/>
        </w:rPr>
        <w:t xml:space="preserve">  </w:t>
      </w:r>
      <w:r w:rsidRPr="0064718F">
        <w:t xml:space="preserve">Se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   </m:t>
        </m:r>
      </m:oMath>
      <w:r w:rsidRPr="0064718F">
        <w:t>são n números reais, então</w:t>
      </w:r>
    </w:p>
    <w:p w:rsidR="0064718F" w:rsidRDefault="0064718F" w:rsidP="0001308C">
      <w:pPr>
        <w:spacing w:after="0"/>
        <w:jc w:val="both"/>
      </w:pPr>
    </w:p>
    <w:p w:rsidR="0064718F" w:rsidRPr="0064718F" w:rsidRDefault="0064718F" w:rsidP="0001308C">
      <w:pPr>
        <w:spacing w:after="0"/>
        <w:jc w:val="bot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+…+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≤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+…+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64718F" w:rsidRDefault="0064718F" w:rsidP="0001308C">
      <w:pPr>
        <w:spacing w:after="0"/>
        <w:jc w:val="both"/>
        <w:rPr>
          <w:rFonts w:eastAsiaTheme="minorEastAsia"/>
        </w:rPr>
      </w:pPr>
    </w:p>
    <w:p w:rsidR="0064718F" w:rsidRDefault="0064718F" w:rsidP="0001308C">
      <w:pPr>
        <w:spacing w:after="0"/>
        <w:jc w:val="both"/>
        <w:rPr>
          <w:rFonts w:eastAsiaTheme="minorEastAsia"/>
        </w:rPr>
      </w:pPr>
    </w:p>
    <w:p w:rsidR="0064718F" w:rsidRDefault="0064718F" w:rsidP="0001308C">
      <w:pPr>
        <w:spacing w:after="0"/>
        <w:jc w:val="both"/>
      </w:pPr>
      <w:r w:rsidRPr="0064718F">
        <w:t>Este corolário, do Teorema 5.1, pode ser produzido da seguinte forma</w:t>
      </w:r>
    </w:p>
    <w:p w:rsidR="0064718F" w:rsidRDefault="0064718F" w:rsidP="0001308C">
      <w:pPr>
        <w:spacing w:after="0"/>
        <w:jc w:val="both"/>
      </w:pPr>
    </w:p>
    <w:p w:rsidR="0064718F" w:rsidRPr="0064718F" w:rsidRDefault="0064718F" w:rsidP="0001308C">
      <w:pPr>
        <w:spacing w:after="0"/>
        <w:jc w:val="both"/>
        <w:rPr>
          <w:b/>
        </w:rPr>
      </w:pPr>
      <w:r w:rsidRPr="0064718F">
        <w:rPr>
          <w:b/>
        </w:rPr>
        <w:tab/>
      </w:r>
      <w:r w:rsidRPr="0064718F">
        <w:rPr>
          <w:b/>
        </w:rPr>
        <w:t>\begin{coroTEMAp}</w:t>
      </w:r>
    </w:p>
    <w:p w:rsidR="0064718F" w:rsidRDefault="0064718F" w:rsidP="0001308C">
      <w:pPr>
        <w:spacing w:after="0"/>
        <w:ind w:left="708" w:firstLine="708"/>
        <w:jc w:val="both"/>
      </w:pPr>
      <w:r>
        <w:t>Se $ a_1, a_2, \ldots, a_n$ s\~{a}o $n$ números reais, então</w:t>
      </w:r>
    </w:p>
    <w:p w:rsidR="0064718F" w:rsidRDefault="0064718F" w:rsidP="0001308C">
      <w:pPr>
        <w:spacing w:after="0"/>
        <w:ind w:left="1416"/>
        <w:jc w:val="both"/>
      </w:pPr>
      <w:proofErr w:type="gramStart"/>
      <w:r>
        <w:t>\[</w:t>
      </w:r>
      <w:proofErr w:type="gramEnd"/>
      <w:r>
        <w:t xml:space="preserve"> ja_1+a_2+\cdots+a_nj \leq </w:t>
      </w:r>
      <w:r w:rsidRPr="00365E4C">
        <w:t>|</w:t>
      </w:r>
      <w:r>
        <w:t>a_1</w:t>
      </w:r>
      <w:r w:rsidRPr="00365E4C">
        <w:t>|</w:t>
      </w:r>
      <w:r>
        <w:t>+</w:t>
      </w:r>
      <w:r w:rsidRPr="00365E4C">
        <w:t>|</w:t>
      </w:r>
      <w:r>
        <w:t>a_2</w:t>
      </w:r>
      <w:r w:rsidRPr="00365E4C">
        <w:t>|</w:t>
      </w:r>
      <w:r>
        <w:t>+\cdots+</w:t>
      </w:r>
      <w:r w:rsidRPr="00365E4C">
        <w:t>|</w:t>
      </w:r>
      <w:r>
        <w:t>a_n</w:t>
      </w:r>
      <w:r w:rsidRPr="00365E4C">
        <w:t>|</w:t>
      </w:r>
      <w:r>
        <w:t>. \]</w:t>
      </w:r>
    </w:p>
    <w:p w:rsidR="0064718F" w:rsidRDefault="0064718F" w:rsidP="0001308C">
      <w:pPr>
        <w:spacing w:after="0"/>
        <w:ind w:firstLine="708"/>
        <w:jc w:val="both"/>
        <w:rPr>
          <w:b/>
        </w:rPr>
      </w:pPr>
      <w:r w:rsidRPr="0064718F">
        <w:rPr>
          <w:b/>
        </w:rPr>
        <w:t>\end{coroTEMAp}</w:t>
      </w:r>
    </w:p>
    <w:p w:rsidR="0064718F" w:rsidRDefault="0064718F" w:rsidP="0001308C">
      <w:pPr>
        <w:spacing w:after="0"/>
        <w:jc w:val="both"/>
        <w:rPr>
          <w:b/>
        </w:rPr>
      </w:pPr>
    </w:p>
    <w:p w:rsidR="0064718F" w:rsidRDefault="0064718F" w:rsidP="0001308C">
      <w:pPr>
        <w:spacing w:after="0"/>
        <w:jc w:val="both"/>
        <w:rPr>
          <w:b/>
        </w:rPr>
      </w:pPr>
    </w:p>
    <w:p w:rsidR="0064718F" w:rsidRDefault="0064718F" w:rsidP="0001308C">
      <w:pPr>
        <w:spacing w:after="0"/>
        <w:jc w:val="both"/>
        <w:rPr>
          <w:b/>
          <w:sz w:val="24"/>
        </w:rPr>
      </w:pPr>
      <w:r w:rsidRPr="0064718F">
        <w:rPr>
          <w:b/>
          <w:sz w:val="24"/>
        </w:rPr>
        <w:t>6.. Sobre Referências Bibliográficas</w:t>
      </w:r>
    </w:p>
    <w:p w:rsidR="0064718F" w:rsidRDefault="0064718F" w:rsidP="0001308C">
      <w:pPr>
        <w:spacing w:after="0"/>
        <w:jc w:val="both"/>
        <w:rPr>
          <w:b/>
          <w:sz w:val="24"/>
        </w:rPr>
      </w:pPr>
    </w:p>
    <w:p w:rsidR="0064718F" w:rsidRDefault="0064718F" w:rsidP="0001308C">
      <w:pPr>
        <w:spacing w:after="0"/>
        <w:jc w:val="both"/>
        <w:rPr>
          <w:sz w:val="24"/>
        </w:rPr>
      </w:pPr>
      <w:r>
        <w:rPr>
          <w:sz w:val="24"/>
        </w:rPr>
        <w:t xml:space="preserve">      </w:t>
      </w:r>
      <w:r w:rsidRPr="0064718F">
        <w:rPr>
          <w:sz w:val="24"/>
        </w:rPr>
        <w:t>As referências bibliográficas devem estar em ordem alfabética do sobrenome do</w:t>
      </w:r>
      <w:r>
        <w:rPr>
          <w:sz w:val="24"/>
        </w:rPr>
        <w:t xml:space="preserve"> </w:t>
      </w:r>
      <w:r w:rsidRPr="0064718F">
        <w:rPr>
          <w:sz w:val="24"/>
        </w:rPr>
        <w:t>primeiro autor.</w:t>
      </w:r>
    </w:p>
    <w:p w:rsidR="0064718F" w:rsidRDefault="0064718F" w:rsidP="0001308C">
      <w:pPr>
        <w:spacing w:after="0"/>
        <w:jc w:val="both"/>
        <w:rPr>
          <w:sz w:val="24"/>
        </w:rPr>
      </w:pPr>
    </w:p>
    <w:p w:rsidR="0064718F" w:rsidRPr="0064718F" w:rsidRDefault="0064718F" w:rsidP="0001308C">
      <w:pPr>
        <w:spacing w:after="0"/>
        <w:jc w:val="both"/>
        <w:rPr>
          <w:sz w:val="24"/>
        </w:rPr>
      </w:pPr>
      <w:r>
        <w:rPr>
          <w:sz w:val="24"/>
        </w:rPr>
        <w:t xml:space="preserve">      </w:t>
      </w:r>
      <w:r w:rsidRPr="0064718F">
        <w:rPr>
          <w:sz w:val="24"/>
        </w:rPr>
        <w:t xml:space="preserve">Como exemplo, vemos que a referência bibliográfica [1] refere-se a livro, as </w:t>
      </w:r>
      <w:r>
        <w:rPr>
          <w:sz w:val="24"/>
        </w:rPr>
        <w:t>r</w:t>
      </w:r>
      <w:r w:rsidRPr="0064718F">
        <w:rPr>
          <w:sz w:val="24"/>
        </w:rPr>
        <w:t>eferências</w:t>
      </w:r>
      <w:r>
        <w:rPr>
          <w:sz w:val="24"/>
        </w:rPr>
        <w:t xml:space="preserve"> </w:t>
      </w:r>
      <w:r w:rsidRPr="0064718F">
        <w:rPr>
          <w:sz w:val="24"/>
        </w:rPr>
        <w:t>[2, 3, 8] a artigos em revista e a referência [6] é um exemplo de tese de</w:t>
      </w:r>
      <w:r>
        <w:rPr>
          <w:sz w:val="24"/>
        </w:rPr>
        <w:t xml:space="preserve"> </w:t>
      </w:r>
      <w:r w:rsidRPr="0064718F">
        <w:rPr>
          <w:sz w:val="24"/>
        </w:rPr>
        <w:t>doutorado. Finalmente, as referências [4, 5, 7] referem-se a artigos em “proceedings”</w:t>
      </w:r>
      <w:r>
        <w:rPr>
          <w:sz w:val="24"/>
        </w:rPr>
        <w:t xml:space="preserve"> </w:t>
      </w:r>
    </w:p>
    <w:p w:rsidR="0064718F" w:rsidRDefault="0064718F" w:rsidP="0001308C">
      <w:pPr>
        <w:spacing w:after="0"/>
        <w:jc w:val="both"/>
        <w:rPr>
          <w:sz w:val="24"/>
        </w:rPr>
      </w:pPr>
      <w:r w:rsidRPr="0064718F">
        <w:rPr>
          <w:sz w:val="24"/>
        </w:rPr>
        <w:t>de congressos.</w:t>
      </w:r>
    </w:p>
    <w:p w:rsidR="0064718F" w:rsidRDefault="0064718F" w:rsidP="0001308C">
      <w:pPr>
        <w:spacing w:after="0"/>
        <w:jc w:val="both"/>
        <w:rPr>
          <w:sz w:val="24"/>
        </w:rPr>
      </w:pPr>
    </w:p>
    <w:p w:rsidR="0064718F" w:rsidRDefault="0064718F" w:rsidP="0001308C">
      <w:pPr>
        <w:spacing w:after="0"/>
        <w:jc w:val="both"/>
        <w:rPr>
          <w:sz w:val="24"/>
        </w:rPr>
      </w:pPr>
      <w:r>
        <w:rPr>
          <w:sz w:val="24"/>
        </w:rPr>
        <w:t xml:space="preserve">      </w:t>
      </w:r>
      <w:r w:rsidRPr="0064718F">
        <w:rPr>
          <w:sz w:val="24"/>
        </w:rPr>
        <w:t>Observe que nas referências de livros, teses de doutorado e dissertações de mestrado</w:t>
      </w:r>
      <w:r>
        <w:rPr>
          <w:sz w:val="24"/>
        </w:rPr>
        <w:t xml:space="preserve"> </w:t>
      </w:r>
      <w:r w:rsidRPr="0064718F">
        <w:rPr>
          <w:sz w:val="24"/>
        </w:rPr>
        <w:t>o título deve ser colocado entre aspas com as letras iniciais em maiúsculo. Nas</w:t>
      </w:r>
      <w:r>
        <w:rPr>
          <w:sz w:val="24"/>
        </w:rPr>
        <w:t xml:space="preserve"> </w:t>
      </w:r>
      <w:r w:rsidRPr="0064718F">
        <w:rPr>
          <w:sz w:val="24"/>
        </w:rPr>
        <w:t>referências a artigos, o título deve ter apenas a letra inicial da primeira palavra em</w:t>
      </w:r>
      <w:r>
        <w:rPr>
          <w:sz w:val="24"/>
        </w:rPr>
        <w:t xml:space="preserve"> </w:t>
      </w:r>
      <w:r w:rsidRPr="0064718F">
        <w:rPr>
          <w:sz w:val="24"/>
        </w:rPr>
        <w:t>maiúsculo e o título da revista em itálico.</w:t>
      </w:r>
    </w:p>
    <w:p w:rsidR="0064718F" w:rsidRDefault="0064718F" w:rsidP="0001308C">
      <w:pPr>
        <w:spacing w:after="0"/>
        <w:jc w:val="both"/>
        <w:rPr>
          <w:sz w:val="24"/>
        </w:rPr>
      </w:pPr>
    </w:p>
    <w:p w:rsidR="0064718F" w:rsidRPr="0064718F" w:rsidRDefault="0064718F" w:rsidP="0001308C">
      <w:pPr>
        <w:spacing w:after="0"/>
        <w:jc w:val="both"/>
        <w:rPr>
          <w:sz w:val="24"/>
        </w:rPr>
      </w:pPr>
      <w:r>
        <w:rPr>
          <w:sz w:val="24"/>
        </w:rPr>
        <w:t xml:space="preserve">    </w:t>
      </w:r>
      <w:r w:rsidRPr="0064718F">
        <w:rPr>
          <w:sz w:val="24"/>
        </w:rPr>
        <w:t>Para fazer citação a uma referência bibliográfica utilizar a combinação de comandos</w:t>
      </w:r>
    </w:p>
    <w:p w:rsidR="0064718F" w:rsidRDefault="0064718F" w:rsidP="0001308C">
      <w:pPr>
        <w:spacing w:after="0"/>
        <w:jc w:val="both"/>
        <w:rPr>
          <w:sz w:val="24"/>
        </w:rPr>
      </w:pPr>
      <w:r w:rsidRPr="0064718F">
        <w:rPr>
          <w:b/>
          <w:sz w:val="24"/>
        </w:rPr>
        <w:t>\</w:t>
      </w:r>
      <w:proofErr w:type="gramStart"/>
      <w:r w:rsidRPr="0064718F">
        <w:rPr>
          <w:b/>
          <w:sz w:val="24"/>
        </w:rPr>
        <w:t>cite{</w:t>
      </w:r>
      <w:proofErr w:type="gramEnd"/>
      <w:r w:rsidRPr="0064718F">
        <w:rPr>
          <w:b/>
          <w:sz w:val="24"/>
        </w:rPr>
        <w:t>}</w:t>
      </w:r>
      <w:r w:rsidRPr="0064718F">
        <w:rPr>
          <w:sz w:val="24"/>
        </w:rPr>
        <w:t xml:space="preserve"> e </w:t>
      </w:r>
      <w:r w:rsidRPr="0064718F">
        <w:rPr>
          <w:b/>
          <w:sz w:val="24"/>
        </w:rPr>
        <w:t>\bibitem{},</w:t>
      </w:r>
      <w:r w:rsidRPr="0064718F">
        <w:rPr>
          <w:sz w:val="24"/>
        </w:rPr>
        <w:t xml:space="preserve"> como mostra o seguinte exemplo:</w:t>
      </w:r>
    </w:p>
    <w:p w:rsidR="0064718F" w:rsidRDefault="0064718F" w:rsidP="0001308C">
      <w:pPr>
        <w:spacing w:after="0"/>
        <w:jc w:val="both"/>
        <w:rPr>
          <w:sz w:val="24"/>
        </w:rPr>
      </w:pPr>
    </w:p>
    <w:p w:rsidR="0064718F" w:rsidRDefault="0064718F" w:rsidP="0001308C">
      <w:pPr>
        <w:spacing w:after="0"/>
        <w:jc w:val="both"/>
        <w:rPr>
          <w:sz w:val="24"/>
        </w:rPr>
      </w:pPr>
    </w:p>
    <w:p w:rsidR="0064718F" w:rsidRDefault="0064718F" w:rsidP="0001308C">
      <w:pPr>
        <w:spacing w:after="0"/>
        <w:jc w:val="both"/>
        <w:rPr>
          <w:sz w:val="24"/>
        </w:rPr>
      </w:pPr>
    </w:p>
    <w:p w:rsidR="0064718F" w:rsidRDefault="0064718F" w:rsidP="0001308C">
      <w:pPr>
        <w:spacing w:after="0"/>
        <w:jc w:val="both"/>
        <w:rPr>
          <w:sz w:val="24"/>
        </w:rPr>
      </w:pPr>
    </w:p>
    <w:p w:rsidR="0064718F" w:rsidRDefault="0064718F" w:rsidP="0001308C">
      <w:pPr>
        <w:spacing w:after="0"/>
        <w:ind w:firstLine="708"/>
        <w:jc w:val="both"/>
        <w:rPr>
          <w:sz w:val="24"/>
        </w:rPr>
      </w:pPr>
      <w:r w:rsidRPr="0064718F">
        <w:rPr>
          <w:sz w:val="24"/>
        </w:rPr>
        <w:lastRenderedPageBreak/>
        <w:t>A referência bibliográfica \cite{CHI} refere-se a livro.</w:t>
      </w:r>
    </w:p>
    <w:p w:rsidR="0064718F" w:rsidRDefault="0064718F" w:rsidP="0001308C">
      <w:pPr>
        <w:spacing w:after="0"/>
        <w:ind w:firstLine="708"/>
        <w:jc w:val="both"/>
        <w:rPr>
          <w:sz w:val="24"/>
        </w:rPr>
      </w:pPr>
    </w:p>
    <w:p w:rsidR="0064718F" w:rsidRPr="00BB28D4" w:rsidRDefault="0064718F" w:rsidP="0001308C">
      <w:pPr>
        <w:spacing w:after="0"/>
        <w:ind w:firstLine="708"/>
        <w:jc w:val="both"/>
        <w:rPr>
          <w:b/>
          <w:sz w:val="24"/>
        </w:rPr>
      </w:pPr>
      <w:r w:rsidRPr="00BB28D4">
        <w:rPr>
          <w:b/>
          <w:sz w:val="24"/>
        </w:rPr>
        <w:t>\begin{thebibliography</w:t>
      </w:r>
      <w:proofErr w:type="gramStart"/>
      <w:r w:rsidRPr="00BB28D4">
        <w:rPr>
          <w:b/>
          <w:sz w:val="24"/>
        </w:rPr>
        <w:t>}{</w:t>
      </w:r>
      <w:proofErr w:type="gramEnd"/>
      <w:r w:rsidRPr="00BB28D4">
        <w:rPr>
          <w:b/>
          <w:sz w:val="24"/>
        </w:rPr>
        <w:t>99}</w:t>
      </w:r>
    </w:p>
    <w:p w:rsidR="0064718F" w:rsidRPr="0064718F" w:rsidRDefault="0064718F" w:rsidP="0001308C">
      <w:pPr>
        <w:spacing w:after="0"/>
        <w:ind w:firstLine="708"/>
        <w:jc w:val="both"/>
        <w:rPr>
          <w:sz w:val="24"/>
        </w:rPr>
      </w:pPr>
      <w:r w:rsidRPr="00BB28D4">
        <w:rPr>
          <w:b/>
          <w:sz w:val="24"/>
        </w:rPr>
        <w:t>\bibitem{CHI}</w:t>
      </w:r>
      <w:r w:rsidRPr="0064718F">
        <w:rPr>
          <w:sz w:val="24"/>
        </w:rPr>
        <w:t xml:space="preserve"> T.S. Chihara, </w:t>
      </w:r>
      <w:r w:rsidRPr="0064718F">
        <w:rPr>
          <w:sz w:val="24"/>
        </w:rPr>
        <w:t/>
      </w:r>
      <w:r w:rsidRPr="0064718F">
        <w:rPr>
          <w:sz w:val="24"/>
        </w:rPr>
        <w:t>An Introduction to Orthogonal</w:t>
      </w:r>
    </w:p>
    <w:p w:rsidR="0064718F" w:rsidRPr="0064718F" w:rsidRDefault="00BB28D4" w:rsidP="0001308C">
      <w:pPr>
        <w:spacing w:after="0"/>
        <w:ind w:firstLine="708"/>
        <w:jc w:val="both"/>
        <w:rPr>
          <w:sz w:val="24"/>
        </w:rPr>
      </w:pPr>
      <w:r>
        <w:rPr>
          <w:sz w:val="24"/>
        </w:rPr>
        <w:t>Polynomials´´</w:t>
      </w:r>
      <w:r w:rsidR="0064718F" w:rsidRPr="0064718F">
        <w:rPr>
          <w:sz w:val="24"/>
        </w:rPr>
        <w:t>, Mathematics and its Applications Series, Gordon and</w:t>
      </w:r>
    </w:p>
    <w:p w:rsidR="0064718F" w:rsidRPr="0064718F" w:rsidRDefault="0064718F" w:rsidP="0001308C">
      <w:pPr>
        <w:spacing w:after="0"/>
        <w:ind w:firstLine="708"/>
        <w:jc w:val="both"/>
        <w:rPr>
          <w:sz w:val="24"/>
        </w:rPr>
      </w:pPr>
      <w:r w:rsidRPr="0064718F">
        <w:rPr>
          <w:sz w:val="24"/>
        </w:rPr>
        <w:t>Breach, New York, 1978.</w:t>
      </w:r>
    </w:p>
    <w:p w:rsidR="0064718F" w:rsidRPr="0064718F" w:rsidRDefault="0064718F" w:rsidP="0001308C">
      <w:pPr>
        <w:spacing w:after="0"/>
        <w:ind w:firstLine="708"/>
        <w:jc w:val="both"/>
        <w:rPr>
          <w:sz w:val="24"/>
        </w:rPr>
      </w:pPr>
      <w:r w:rsidRPr="00BB28D4">
        <w:rPr>
          <w:b/>
          <w:sz w:val="24"/>
        </w:rPr>
        <w:t>\bibitem{COU}</w:t>
      </w:r>
      <w:r w:rsidRPr="0064718F">
        <w:rPr>
          <w:sz w:val="24"/>
        </w:rPr>
        <w:t xml:space="preserve"> R. Courant, Variational methods for the solution</w:t>
      </w:r>
    </w:p>
    <w:p w:rsidR="0064718F" w:rsidRPr="0064718F" w:rsidRDefault="0064718F" w:rsidP="0001308C">
      <w:pPr>
        <w:spacing w:after="0"/>
        <w:ind w:firstLine="708"/>
        <w:jc w:val="both"/>
        <w:rPr>
          <w:sz w:val="24"/>
        </w:rPr>
      </w:pPr>
      <w:r w:rsidRPr="0064718F">
        <w:rPr>
          <w:sz w:val="24"/>
        </w:rPr>
        <w:t>of problems of equilibrium and vibrations, {\em Bull. Amer. Math.</w:t>
      </w:r>
    </w:p>
    <w:p w:rsidR="0064718F" w:rsidRPr="0064718F" w:rsidRDefault="0064718F" w:rsidP="0001308C">
      <w:pPr>
        <w:spacing w:after="0"/>
        <w:ind w:firstLine="708"/>
        <w:jc w:val="both"/>
        <w:rPr>
          <w:sz w:val="24"/>
        </w:rPr>
      </w:pPr>
      <w:r w:rsidRPr="0064718F">
        <w:rPr>
          <w:sz w:val="24"/>
        </w:rPr>
        <w:t>Soc.}, {\bf 49} (1943), 1–23.</w:t>
      </w:r>
    </w:p>
    <w:p w:rsidR="0064718F" w:rsidRPr="0064718F" w:rsidRDefault="0064718F" w:rsidP="0001308C">
      <w:pPr>
        <w:spacing w:after="0"/>
        <w:ind w:firstLine="708"/>
        <w:jc w:val="both"/>
        <w:rPr>
          <w:sz w:val="24"/>
        </w:rPr>
      </w:pPr>
      <w:r w:rsidRPr="00BB28D4">
        <w:rPr>
          <w:b/>
          <w:sz w:val="24"/>
        </w:rPr>
        <w:t>\bibitem{DT}</w:t>
      </w:r>
      <w:r w:rsidRPr="0064718F">
        <w:rPr>
          <w:sz w:val="24"/>
        </w:rPr>
        <w:t xml:space="preserve"> J.L. Dorício, M.F. Tomé, Um método numérico para</w:t>
      </w:r>
    </w:p>
    <w:p w:rsidR="0064718F" w:rsidRPr="0064718F" w:rsidRDefault="0064718F" w:rsidP="0001308C">
      <w:pPr>
        <w:spacing w:after="0"/>
        <w:ind w:firstLine="708"/>
        <w:jc w:val="both"/>
        <w:rPr>
          <w:sz w:val="24"/>
        </w:rPr>
      </w:pPr>
      <w:r w:rsidRPr="0064718F">
        <w:rPr>
          <w:sz w:val="24"/>
        </w:rPr>
        <w:t>simular escoamentos incompressíveis de fluidos de segunda ordem,</w:t>
      </w:r>
    </w:p>
    <w:p w:rsidR="0064718F" w:rsidRPr="0064718F" w:rsidRDefault="0064718F" w:rsidP="0001308C">
      <w:pPr>
        <w:spacing w:after="0"/>
        <w:ind w:firstLine="708"/>
        <w:jc w:val="both"/>
        <w:rPr>
          <w:sz w:val="24"/>
        </w:rPr>
      </w:pPr>
      <w:r w:rsidRPr="0064718F">
        <w:rPr>
          <w:sz w:val="24"/>
        </w:rPr>
        <w:t>{\em TEMA - Tend. Mat. Apl. Comput.}, {\bf 7}, No. 1 (2006),</w:t>
      </w:r>
    </w:p>
    <w:p w:rsidR="0064718F" w:rsidRPr="0064718F" w:rsidRDefault="0064718F" w:rsidP="0001308C">
      <w:pPr>
        <w:spacing w:after="0"/>
        <w:ind w:firstLine="708"/>
        <w:jc w:val="both"/>
        <w:rPr>
          <w:sz w:val="24"/>
        </w:rPr>
      </w:pPr>
      <w:r w:rsidRPr="0064718F">
        <w:rPr>
          <w:sz w:val="24"/>
        </w:rPr>
        <w:t>63–74.</w:t>
      </w:r>
    </w:p>
    <w:p w:rsidR="0064718F" w:rsidRPr="0064718F" w:rsidRDefault="0064718F" w:rsidP="0001308C">
      <w:pPr>
        <w:spacing w:after="0"/>
        <w:ind w:firstLine="708"/>
        <w:jc w:val="both"/>
        <w:rPr>
          <w:sz w:val="24"/>
        </w:rPr>
      </w:pPr>
      <w:r w:rsidRPr="00BB28D4">
        <w:rPr>
          <w:b/>
          <w:sz w:val="24"/>
        </w:rPr>
        <w:t>\bibitem{GAU}</w:t>
      </w:r>
      <w:r w:rsidRPr="0064718F">
        <w:rPr>
          <w:sz w:val="24"/>
        </w:rPr>
        <w:t xml:space="preserve"> W. Gautschi, A survey of Gauss-Christoffel quadrature</w:t>
      </w:r>
    </w:p>
    <w:p w:rsidR="0064718F" w:rsidRPr="0064718F" w:rsidRDefault="00BB28D4" w:rsidP="0001308C">
      <w:pPr>
        <w:spacing w:after="0"/>
        <w:ind w:firstLine="708"/>
        <w:jc w:val="both"/>
        <w:rPr>
          <w:sz w:val="24"/>
        </w:rPr>
      </w:pPr>
      <w:r>
        <w:rPr>
          <w:sz w:val="24"/>
        </w:rPr>
        <w:t>formulae, em ´´</w:t>
      </w:r>
      <w:r w:rsidR="0064718F" w:rsidRPr="0064718F">
        <w:rPr>
          <w:sz w:val="24"/>
        </w:rPr>
        <w:t>E.B. Christoffel - The influence of his work in</w:t>
      </w:r>
    </w:p>
    <w:p w:rsidR="0064718F" w:rsidRPr="0064718F" w:rsidRDefault="0064718F" w:rsidP="0001308C">
      <w:pPr>
        <w:spacing w:after="0"/>
        <w:ind w:firstLine="708"/>
        <w:jc w:val="both"/>
        <w:rPr>
          <w:sz w:val="24"/>
        </w:rPr>
      </w:pPr>
      <w:r w:rsidRPr="0064718F">
        <w:rPr>
          <w:sz w:val="24"/>
        </w:rPr>
        <w:t>math</w:t>
      </w:r>
      <w:r w:rsidR="00BB28D4">
        <w:rPr>
          <w:sz w:val="24"/>
        </w:rPr>
        <w:t>ematics and physical sciences ´´</w:t>
      </w:r>
      <w:r w:rsidRPr="0064718F">
        <w:rPr>
          <w:sz w:val="24"/>
        </w:rPr>
        <w:t xml:space="preserve"> (P.L. Butzer e F. Fehér, eds.),</w:t>
      </w:r>
    </w:p>
    <w:p w:rsidR="0064718F" w:rsidRPr="0064718F" w:rsidRDefault="0064718F" w:rsidP="0001308C">
      <w:pPr>
        <w:spacing w:after="0"/>
        <w:ind w:firstLine="708"/>
        <w:jc w:val="both"/>
        <w:rPr>
          <w:sz w:val="24"/>
        </w:rPr>
      </w:pPr>
      <w:r w:rsidRPr="0064718F">
        <w:rPr>
          <w:sz w:val="24"/>
        </w:rPr>
        <w:t>pp. 72-147, Birkh\¨ {a}user Verlag, Basel, 1981.</w:t>
      </w:r>
    </w:p>
    <w:p w:rsidR="0064718F" w:rsidRDefault="0064718F" w:rsidP="0001308C">
      <w:pPr>
        <w:spacing w:after="0"/>
        <w:ind w:firstLine="708"/>
        <w:jc w:val="both"/>
        <w:rPr>
          <w:b/>
          <w:sz w:val="24"/>
        </w:rPr>
      </w:pPr>
      <w:r w:rsidRPr="00BB28D4">
        <w:rPr>
          <w:b/>
          <w:sz w:val="24"/>
        </w:rPr>
        <w:t>\end{thebibliography}</w:t>
      </w:r>
    </w:p>
    <w:p w:rsidR="00BB28D4" w:rsidRDefault="00BB28D4" w:rsidP="0001308C">
      <w:pPr>
        <w:spacing w:after="0"/>
        <w:jc w:val="both"/>
        <w:rPr>
          <w:b/>
          <w:sz w:val="24"/>
        </w:rPr>
      </w:pPr>
    </w:p>
    <w:p w:rsidR="00BB28D4" w:rsidRPr="00BB28D4" w:rsidRDefault="00BB28D4" w:rsidP="0001308C">
      <w:pPr>
        <w:spacing w:after="0"/>
        <w:jc w:val="both"/>
        <w:rPr>
          <w:sz w:val="24"/>
        </w:rPr>
      </w:pPr>
      <w:r>
        <w:rPr>
          <w:sz w:val="24"/>
        </w:rPr>
        <w:t xml:space="preserve">      </w:t>
      </w:r>
      <w:r w:rsidRPr="00BB28D4">
        <w:rPr>
          <w:sz w:val="24"/>
        </w:rPr>
        <w:t>Quando o trabalho for escrito em Inglês a última referência acima deverá ser</w:t>
      </w:r>
    </w:p>
    <w:p w:rsidR="00BB28D4" w:rsidRDefault="00BB28D4" w:rsidP="0001308C">
      <w:pPr>
        <w:spacing w:after="0"/>
        <w:jc w:val="both"/>
        <w:rPr>
          <w:sz w:val="24"/>
        </w:rPr>
      </w:pPr>
      <w:r w:rsidRPr="00BB28D4">
        <w:rPr>
          <w:sz w:val="24"/>
        </w:rPr>
        <w:t>feita da seguinte forma:</w:t>
      </w:r>
    </w:p>
    <w:p w:rsidR="00BB28D4" w:rsidRDefault="00BB28D4" w:rsidP="0001308C">
      <w:pPr>
        <w:spacing w:after="0"/>
        <w:jc w:val="both"/>
        <w:rPr>
          <w:sz w:val="24"/>
        </w:rPr>
      </w:pPr>
    </w:p>
    <w:p w:rsidR="00BB28D4" w:rsidRPr="00BB28D4" w:rsidRDefault="00BB28D4" w:rsidP="0001308C">
      <w:pPr>
        <w:spacing w:after="0"/>
        <w:jc w:val="both"/>
        <w:rPr>
          <w:sz w:val="24"/>
        </w:rPr>
      </w:pPr>
      <w:r>
        <w:rPr>
          <w:sz w:val="24"/>
        </w:rPr>
        <w:tab/>
      </w:r>
      <w:r w:rsidRPr="00BB28D4">
        <w:rPr>
          <w:sz w:val="24"/>
        </w:rPr>
        <w:t>\bibitem{GAU} W. Gautschi, A survey of Gauss-Christoffel quadrature</w:t>
      </w:r>
    </w:p>
    <w:p w:rsidR="00BB28D4" w:rsidRPr="00BB28D4" w:rsidRDefault="00BB28D4" w:rsidP="0001308C">
      <w:pPr>
        <w:spacing w:after="0"/>
        <w:ind w:left="708"/>
        <w:jc w:val="both"/>
        <w:rPr>
          <w:sz w:val="24"/>
        </w:rPr>
      </w:pPr>
      <w:r w:rsidRPr="00BB28D4">
        <w:rPr>
          <w:sz w:val="24"/>
        </w:rPr>
        <w:t xml:space="preserve">formulae, </w:t>
      </w:r>
      <w:r>
        <w:rPr>
          <w:sz w:val="24"/>
        </w:rPr>
        <w:t>in ´´</w:t>
      </w:r>
      <w:r w:rsidRPr="00BB28D4">
        <w:rPr>
          <w:sz w:val="24"/>
        </w:rPr>
        <w:t>E.B. Christoffel - The influence of his work in</w:t>
      </w:r>
    </w:p>
    <w:p w:rsidR="00BB28D4" w:rsidRPr="00BB28D4" w:rsidRDefault="00BB28D4" w:rsidP="0001308C">
      <w:pPr>
        <w:spacing w:after="0"/>
        <w:ind w:left="708"/>
        <w:jc w:val="both"/>
        <w:rPr>
          <w:sz w:val="24"/>
        </w:rPr>
      </w:pPr>
      <w:r w:rsidRPr="00BB28D4">
        <w:rPr>
          <w:sz w:val="24"/>
        </w:rPr>
        <w:t>mat</w:t>
      </w:r>
      <w:r>
        <w:rPr>
          <w:sz w:val="24"/>
        </w:rPr>
        <w:t>hematics and physical sciences ´´</w:t>
      </w:r>
      <w:r w:rsidRPr="00BB28D4">
        <w:rPr>
          <w:sz w:val="24"/>
        </w:rPr>
        <w:t xml:space="preserve"> (P.L. Butzer and F. Fehér, eds.),</w:t>
      </w:r>
    </w:p>
    <w:p w:rsidR="00BB28D4" w:rsidRDefault="00BB28D4" w:rsidP="0001308C">
      <w:pPr>
        <w:spacing w:after="0"/>
        <w:ind w:left="708"/>
        <w:jc w:val="both"/>
        <w:rPr>
          <w:sz w:val="24"/>
        </w:rPr>
      </w:pPr>
      <w:r w:rsidRPr="00BB28D4">
        <w:rPr>
          <w:sz w:val="24"/>
        </w:rPr>
        <w:t>pp. 72-147, Birkh\¨ {a}user Verlag, Basel, 1981.</w:t>
      </w:r>
    </w:p>
    <w:p w:rsidR="00BB28D4" w:rsidRDefault="00BB28D4" w:rsidP="0001308C">
      <w:pPr>
        <w:spacing w:after="0"/>
        <w:jc w:val="both"/>
        <w:rPr>
          <w:sz w:val="24"/>
        </w:rPr>
      </w:pPr>
    </w:p>
    <w:p w:rsidR="00BB28D4" w:rsidRDefault="00BB28D4" w:rsidP="0001308C">
      <w:pPr>
        <w:spacing w:after="0"/>
        <w:jc w:val="both"/>
        <w:rPr>
          <w:sz w:val="24"/>
        </w:rPr>
      </w:pPr>
    </w:p>
    <w:p w:rsidR="00BB28D4" w:rsidRPr="00BB28D4" w:rsidRDefault="00BB28D4" w:rsidP="0001308C">
      <w:pPr>
        <w:spacing w:after="0"/>
        <w:jc w:val="both"/>
        <w:rPr>
          <w:sz w:val="24"/>
        </w:rPr>
      </w:pPr>
      <w:r w:rsidRPr="00BB28D4">
        <w:rPr>
          <w:b/>
          <w:sz w:val="24"/>
        </w:rPr>
        <w:t>Agradecimentos</w:t>
      </w:r>
      <w:r w:rsidRPr="00BB28D4">
        <w:rPr>
          <w:sz w:val="24"/>
        </w:rPr>
        <w:t xml:space="preserve"> (</w:t>
      </w:r>
      <w:r w:rsidRPr="00BB28D4">
        <w:rPr>
          <w:i/>
          <w:sz w:val="24"/>
        </w:rPr>
        <w:t>este item é facultativo</w:t>
      </w:r>
      <w:r w:rsidRPr="00BB28D4">
        <w:rPr>
          <w:sz w:val="24"/>
        </w:rPr>
        <w:t>)</w:t>
      </w:r>
    </w:p>
    <w:p w:rsidR="00BB28D4" w:rsidRPr="00BB28D4" w:rsidRDefault="00BB28D4" w:rsidP="0001308C">
      <w:pPr>
        <w:spacing w:after="0"/>
        <w:jc w:val="both"/>
        <w:rPr>
          <w:sz w:val="24"/>
        </w:rPr>
      </w:pPr>
      <w:r w:rsidRPr="00BB28D4">
        <w:rPr>
          <w:sz w:val="24"/>
        </w:rPr>
        <w:t>Aqui os autores poderão expressar seus agradecimentos aos assessores (quando há</w:t>
      </w:r>
    </w:p>
    <w:p w:rsidR="00BB28D4" w:rsidRPr="00BB28D4" w:rsidRDefault="00BB28D4" w:rsidP="0001308C">
      <w:pPr>
        <w:spacing w:after="0"/>
        <w:jc w:val="both"/>
        <w:rPr>
          <w:sz w:val="24"/>
        </w:rPr>
      </w:pPr>
      <w:r w:rsidRPr="00BB28D4">
        <w:rPr>
          <w:sz w:val="24"/>
        </w:rPr>
        <w:t>sugestões de melhoramento) e entidades ou pessoas que ajudaram de alguma forma</w:t>
      </w:r>
    </w:p>
    <w:p w:rsidR="00BB28D4" w:rsidRPr="00BB28D4" w:rsidRDefault="00BB28D4" w:rsidP="0001308C">
      <w:pPr>
        <w:spacing w:after="0"/>
        <w:jc w:val="both"/>
        <w:rPr>
          <w:sz w:val="24"/>
        </w:rPr>
      </w:pPr>
      <w:r w:rsidRPr="00BB28D4">
        <w:rPr>
          <w:sz w:val="24"/>
        </w:rPr>
        <w:t>a realização do trabalho. Agradecimentos a agências de fomento à pesquisa poderão</w:t>
      </w:r>
    </w:p>
    <w:p w:rsidR="00BB28D4" w:rsidRPr="00BB28D4" w:rsidRDefault="00BB28D4" w:rsidP="0001308C">
      <w:pPr>
        <w:spacing w:after="0"/>
        <w:jc w:val="both"/>
        <w:rPr>
          <w:sz w:val="24"/>
        </w:rPr>
      </w:pPr>
      <w:r w:rsidRPr="00BB28D4">
        <w:rPr>
          <w:sz w:val="24"/>
        </w:rPr>
        <w:t>ser feitas na página inicial usando notas de rodapé (\</w:t>
      </w:r>
      <w:proofErr w:type="gramStart"/>
      <w:r w:rsidRPr="00BB28D4">
        <w:rPr>
          <w:sz w:val="24"/>
        </w:rPr>
        <w:t>thanks{ }</w:t>
      </w:r>
      <w:proofErr w:type="gramEnd"/>
      <w:r w:rsidRPr="00BB28D4">
        <w:rPr>
          <w:sz w:val="24"/>
        </w:rPr>
        <w:t>) ligadas ao título</w:t>
      </w:r>
    </w:p>
    <w:p w:rsidR="00BB28D4" w:rsidRDefault="00BB28D4" w:rsidP="0001308C">
      <w:pPr>
        <w:spacing w:after="0"/>
        <w:jc w:val="both"/>
        <w:rPr>
          <w:sz w:val="24"/>
        </w:rPr>
      </w:pPr>
      <w:r w:rsidRPr="00BB28D4">
        <w:rPr>
          <w:sz w:val="24"/>
        </w:rPr>
        <w:t>do trabalho ou autores.</w:t>
      </w:r>
    </w:p>
    <w:p w:rsidR="00BB28D4" w:rsidRDefault="00BB28D4" w:rsidP="0001308C">
      <w:pPr>
        <w:spacing w:after="0"/>
        <w:jc w:val="both"/>
        <w:rPr>
          <w:sz w:val="24"/>
        </w:rPr>
      </w:pPr>
    </w:p>
    <w:p w:rsidR="00BB28D4" w:rsidRPr="00BB28D4" w:rsidRDefault="00BB28D4" w:rsidP="0001308C">
      <w:pPr>
        <w:spacing w:after="0"/>
        <w:jc w:val="both"/>
        <w:rPr>
          <w:sz w:val="24"/>
        </w:rPr>
      </w:pPr>
      <w:r>
        <w:rPr>
          <w:sz w:val="24"/>
        </w:rPr>
        <w:t xml:space="preserve">        </w:t>
      </w:r>
      <w:r w:rsidRPr="00BB28D4">
        <w:rPr>
          <w:b/>
          <w:sz w:val="24"/>
        </w:rPr>
        <w:t>Abstract</w:t>
      </w:r>
      <w:r w:rsidRPr="00BB28D4">
        <w:rPr>
          <w:sz w:val="24"/>
        </w:rPr>
        <w:t>. This document, which was prepared using the class file TEMA.cls, provides</w:t>
      </w:r>
    </w:p>
    <w:p w:rsidR="00BB28D4" w:rsidRPr="00BB28D4" w:rsidRDefault="00BB28D4" w:rsidP="0001308C">
      <w:pPr>
        <w:spacing w:after="0"/>
        <w:jc w:val="both"/>
        <w:rPr>
          <w:sz w:val="24"/>
        </w:rPr>
      </w:pPr>
      <w:r>
        <w:rPr>
          <w:sz w:val="24"/>
        </w:rPr>
        <w:t xml:space="preserve">        </w:t>
      </w:r>
      <w:r w:rsidRPr="00BB28D4">
        <w:rPr>
          <w:sz w:val="24"/>
        </w:rPr>
        <w:t>some important information for the authors who intend to submit papers for</w:t>
      </w:r>
    </w:p>
    <w:p w:rsidR="00BB28D4" w:rsidRDefault="00BB28D4" w:rsidP="0001308C">
      <w:pPr>
        <w:spacing w:after="0"/>
        <w:jc w:val="both"/>
        <w:rPr>
          <w:sz w:val="24"/>
        </w:rPr>
      </w:pPr>
      <w:r>
        <w:rPr>
          <w:sz w:val="24"/>
        </w:rPr>
        <w:t xml:space="preserve">        </w:t>
      </w:r>
      <w:proofErr w:type="gramStart"/>
      <w:r w:rsidRPr="00BB28D4">
        <w:rPr>
          <w:sz w:val="24"/>
        </w:rPr>
        <w:t>TEMA</w:t>
      </w:r>
      <w:r>
        <w:rPr>
          <w:sz w:val="24"/>
        </w:rPr>
        <w:t xml:space="preserve">  </w:t>
      </w:r>
      <w:r w:rsidRPr="00BB28D4">
        <w:rPr>
          <w:sz w:val="24"/>
        </w:rPr>
        <w:t>.</w:t>
      </w:r>
      <w:proofErr w:type="gramEnd"/>
    </w:p>
    <w:p w:rsidR="00BB28D4" w:rsidRDefault="00BB28D4" w:rsidP="0001308C">
      <w:pPr>
        <w:spacing w:after="0"/>
        <w:jc w:val="both"/>
        <w:rPr>
          <w:sz w:val="24"/>
        </w:rPr>
      </w:pPr>
    </w:p>
    <w:p w:rsidR="00BB28D4" w:rsidRDefault="00BB28D4" w:rsidP="0001308C">
      <w:pPr>
        <w:spacing w:after="0"/>
        <w:jc w:val="both"/>
        <w:rPr>
          <w:b/>
          <w:sz w:val="24"/>
        </w:rPr>
      </w:pPr>
      <w:r w:rsidRPr="00BB28D4">
        <w:rPr>
          <w:b/>
          <w:sz w:val="24"/>
        </w:rPr>
        <w:t>Referencias</w:t>
      </w:r>
    </w:p>
    <w:p w:rsidR="00BB28D4" w:rsidRDefault="00BB28D4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sdt>
        <w:sdtPr>
          <w:rPr>
            <w:b/>
            <w:sz w:val="24"/>
          </w:rPr>
          <w:id w:val="964236895"/>
          <w:citation/>
        </w:sdtPr>
        <w:sdtContent>
          <w:r>
            <w:rPr>
              <w:b/>
              <w:sz w:val="24"/>
            </w:rPr>
            <w:fldChar w:fldCharType="begin"/>
          </w:r>
          <w:r>
            <w:rPr>
              <w:b/>
              <w:sz w:val="24"/>
            </w:rPr>
            <w:instrText xml:space="preserve"> CITATION Chi78 \l 3082 </w:instrText>
          </w:r>
          <w:r>
            <w:rPr>
              <w:b/>
              <w:sz w:val="24"/>
            </w:rPr>
            <w:fldChar w:fldCharType="separate"/>
          </w:r>
          <w:r w:rsidRPr="00BB28D4">
            <w:rPr>
              <w:noProof/>
              <w:sz w:val="24"/>
            </w:rPr>
            <w:t>[1]</w:t>
          </w:r>
          <w:r>
            <w:rPr>
              <w:b/>
              <w:sz w:val="24"/>
            </w:rPr>
            <w:fldChar w:fldCharType="end"/>
          </w:r>
        </w:sdtContent>
      </w:sdt>
      <w:r>
        <w:rPr>
          <w:b/>
          <w:sz w:val="24"/>
        </w:rPr>
        <w:t xml:space="preserve"> </w:t>
      </w:r>
      <w:r>
        <w:rPr>
          <w:rFonts w:ascii="SFRM1000" w:hAnsi="SFRM1000" w:cs="SFRM1000"/>
          <w:sz w:val="20"/>
          <w:szCs w:val="20"/>
        </w:rPr>
        <w:t>T.S. Chihara, “An Introduction to Orthogonal Polynomials”, Mathematics and</w:t>
      </w:r>
      <w:r>
        <w:rPr>
          <w:rFonts w:ascii="SFRM1000" w:hAnsi="SFRM1000" w:cs="SFRM1000"/>
          <w:sz w:val="20"/>
          <w:szCs w:val="20"/>
        </w:rPr>
        <w:t xml:space="preserve"> </w:t>
      </w:r>
    </w:p>
    <w:p w:rsidR="00BB28D4" w:rsidRDefault="00BB28D4" w:rsidP="0001308C">
      <w:pPr>
        <w:spacing w:after="0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      </w:t>
      </w:r>
      <w:r>
        <w:rPr>
          <w:rFonts w:ascii="SFRM1000" w:hAnsi="SFRM1000" w:cs="SFRM1000"/>
          <w:sz w:val="20"/>
          <w:szCs w:val="20"/>
        </w:rPr>
        <w:t>its Applications Series, Gordon and Breach, New York, 1978.</w:t>
      </w:r>
    </w:p>
    <w:p w:rsidR="00BB28D4" w:rsidRDefault="00BB28D4" w:rsidP="0001308C">
      <w:pPr>
        <w:spacing w:after="0"/>
        <w:jc w:val="both"/>
        <w:rPr>
          <w:rFonts w:ascii="SFRM1000" w:hAnsi="SFRM1000" w:cs="SFRM1000"/>
          <w:sz w:val="20"/>
          <w:szCs w:val="20"/>
        </w:rPr>
      </w:pPr>
    </w:p>
    <w:p w:rsidR="00BB28D4" w:rsidRDefault="00BB28D4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sdt>
        <w:sdtPr>
          <w:rPr>
            <w:rFonts w:ascii="SFRM1000" w:hAnsi="SFRM1000" w:cs="SFRM1000"/>
            <w:sz w:val="20"/>
            <w:szCs w:val="20"/>
          </w:rPr>
          <w:id w:val="1817384666"/>
          <w:citation/>
        </w:sdtPr>
        <w:sdtContent>
          <w:r>
            <w:rPr>
              <w:rFonts w:ascii="SFRM1000" w:hAnsi="SFRM1000" w:cs="SFRM1000"/>
              <w:sz w:val="20"/>
              <w:szCs w:val="20"/>
            </w:rPr>
            <w:fldChar w:fldCharType="begin"/>
          </w:r>
          <w:r>
            <w:rPr>
              <w:rFonts w:ascii="SFRM1000" w:hAnsi="SFRM1000" w:cs="SFRM1000"/>
              <w:sz w:val="20"/>
              <w:szCs w:val="20"/>
            </w:rPr>
            <w:instrText xml:space="preserve"> CITATION sssdd \l 3082 </w:instrText>
          </w:r>
          <w:r>
            <w:rPr>
              <w:rFonts w:ascii="SFRM1000" w:hAnsi="SFRM1000" w:cs="SFRM1000"/>
              <w:sz w:val="20"/>
              <w:szCs w:val="20"/>
            </w:rPr>
            <w:fldChar w:fldCharType="separate"/>
          </w:r>
          <w:r w:rsidRPr="00BB28D4">
            <w:rPr>
              <w:rFonts w:ascii="SFRM1000" w:hAnsi="SFRM1000" w:cs="SFRM1000"/>
              <w:noProof/>
              <w:sz w:val="20"/>
              <w:szCs w:val="20"/>
            </w:rPr>
            <w:t>[2]</w:t>
          </w:r>
          <w:r>
            <w:rPr>
              <w:rFonts w:ascii="SFRM1000" w:hAnsi="SFRM1000" w:cs="SFRM1000"/>
              <w:sz w:val="20"/>
              <w:szCs w:val="20"/>
            </w:rPr>
            <w:fldChar w:fldCharType="end"/>
          </w:r>
        </w:sdtContent>
      </w:sdt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R. Courant, Variational methods for the solution of problems of equilibrium and</w:t>
      </w:r>
    </w:p>
    <w:p w:rsidR="00BB28D4" w:rsidRDefault="00BB28D4" w:rsidP="0001308C">
      <w:pPr>
        <w:spacing w:after="0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     </w:t>
      </w:r>
      <w:r>
        <w:rPr>
          <w:rFonts w:ascii="SFRM1000" w:hAnsi="SFRM1000" w:cs="SFRM1000"/>
          <w:sz w:val="20"/>
          <w:szCs w:val="20"/>
        </w:rPr>
        <w:t xml:space="preserve">vibrations, </w:t>
      </w:r>
      <w:r>
        <w:rPr>
          <w:rFonts w:ascii="SFTI1000" w:hAnsi="SFTI1000" w:cs="SFTI1000"/>
          <w:sz w:val="20"/>
          <w:szCs w:val="20"/>
        </w:rPr>
        <w:t>Bull. Amer. Math. Soc.</w:t>
      </w:r>
      <w:r>
        <w:rPr>
          <w:rFonts w:ascii="SFRM1000" w:hAnsi="SFRM1000" w:cs="SFRM1000"/>
          <w:sz w:val="20"/>
          <w:szCs w:val="20"/>
        </w:rPr>
        <w:t xml:space="preserve">, </w:t>
      </w:r>
      <w:r>
        <w:rPr>
          <w:rFonts w:ascii="SFBX1000" w:hAnsi="SFBX1000" w:cs="SFBX1000"/>
          <w:sz w:val="20"/>
          <w:szCs w:val="20"/>
        </w:rPr>
        <w:t xml:space="preserve">49 </w:t>
      </w:r>
      <w:r>
        <w:rPr>
          <w:rFonts w:ascii="SFRM1000" w:hAnsi="SFRM1000" w:cs="SFRM1000"/>
          <w:sz w:val="20"/>
          <w:szCs w:val="20"/>
        </w:rPr>
        <w:t>(1943), 1–23.</w:t>
      </w:r>
    </w:p>
    <w:p w:rsidR="00BB28D4" w:rsidRDefault="00BB28D4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sdt>
        <w:sdtPr>
          <w:rPr>
            <w:rFonts w:ascii="SFRM1000" w:hAnsi="SFRM1000" w:cs="SFRM1000"/>
            <w:sz w:val="20"/>
            <w:szCs w:val="20"/>
          </w:rPr>
          <w:id w:val="1879663082"/>
          <w:citation/>
        </w:sdtPr>
        <w:sdtContent>
          <w:r>
            <w:rPr>
              <w:rFonts w:ascii="SFRM1000" w:hAnsi="SFRM1000" w:cs="SFRM1000"/>
              <w:sz w:val="20"/>
              <w:szCs w:val="20"/>
            </w:rPr>
            <w:fldChar w:fldCharType="begin"/>
          </w:r>
          <w:r>
            <w:rPr>
              <w:rFonts w:ascii="SFRM1000" w:hAnsi="SFRM1000" w:cs="SFRM1000"/>
              <w:sz w:val="20"/>
              <w:szCs w:val="20"/>
            </w:rPr>
            <w:instrText xml:space="preserve"> CITATION dfsfs \l 3082 </w:instrText>
          </w:r>
          <w:r>
            <w:rPr>
              <w:rFonts w:ascii="SFRM1000" w:hAnsi="SFRM1000" w:cs="SFRM1000"/>
              <w:sz w:val="20"/>
              <w:szCs w:val="20"/>
            </w:rPr>
            <w:fldChar w:fldCharType="separate"/>
          </w:r>
          <w:r w:rsidRPr="00BB28D4">
            <w:rPr>
              <w:rFonts w:ascii="SFRM1000" w:hAnsi="SFRM1000" w:cs="SFRM1000"/>
              <w:noProof/>
              <w:sz w:val="20"/>
              <w:szCs w:val="20"/>
            </w:rPr>
            <w:t>[3]</w:t>
          </w:r>
          <w:r>
            <w:rPr>
              <w:rFonts w:ascii="SFRM1000" w:hAnsi="SFRM1000" w:cs="SFRM1000"/>
              <w:sz w:val="20"/>
              <w:szCs w:val="20"/>
            </w:rPr>
            <w:fldChar w:fldCharType="end"/>
          </w:r>
        </w:sdtContent>
      </w:sdt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J.L. Dorício, M.F. Tomé, Um método numérico para simular escoamentos incompressíveis</w:t>
      </w:r>
    </w:p>
    <w:p w:rsidR="00BB28D4" w:rsidRDefault="00BB28D4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     </w:t>
      </w:r>
      <w:r>
        <w:rPr>
          <w:rFonts w:ascii="SFRM1000" w:hAnsi="SFRM1000" w:cs="SFRM1000"/>
          <w:sz w:val="20"/>
          <w:szCs w:val="20"/>
        </w:rPr>
        <w:t xml:space="preserve">de fluidos de segunda ordem, </w:t>
      </w:r>
      <w:r>
        <w:rPr>
          <w:rFonts w:ascii="SFTI1000" w:hAnsi="SFTI1000" w:cs="SFTI1000"/>
          <w:sz w:val="20"/>
          <w:szCs w:val="20"/>
        </w:rPr>
        <w:t>TEMA – Tend. Mat. Apl. Comput.</w:t>
      </w:r>
      <w:r>
        <w:rPr>
          <w:rFonts w:ascii="SFRM1000" w:hAnsi="SFRM1000" w:cs="SFRM1000"/>
          <w:sz w:val="20"/>
          <w:szCs w:val="20"/>
        </w:rPr>
        <w:t>,</w:t>
      </w:r>
      <w:r>
        <w:rPr>
          <w:rFonts w:ascii="SFBX1000" w:hAnsi="SFBX1000" w:cs="SFBX1000"/>
          <w:sz w:val="20"/>
          <w:szCs w:val="20"/>
        </w:rPr>
        <w:t>7</w:t>
      </w:r>
      <w:r>
        <w:rPr>
          <w:rFonts w:ascii="SFRM1000" w:hAnsi="SFRM1000" w:cs="SFRM1000"/>
          <w:sz w:val="20"/>
          <w:szCs w:val="20"/>
        </w:rPr>
        <w:t>, No. 1 (2006), 63–74.</w:t>
      </w:r>
    </w:p>
    <w:p w:rsidR="00BB28D4" w:rsidRDefault="00BB28D4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BB28D4" w:rsidRDefault="00BB28D4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sdt>
        <w:sdtPr>
          <w:rPr>
            <w:rFonts w:ascii="SFRM1000" w:hAnsi="SFRM1000" w:cs="SFRM1000"/>
            <w:sz w:val="20"/>
            <w:szCs w:val="20"/>
          </w:rPr>
          <w:id w:val="-1617128535"/>
          <w:citation/>
        </w:sdtPr>
        <w:sdtContent>
          <w:r>
            <w:rPr>
              <w:rFonts w:ascii="SFRM1000" w:hAnsi="SFRM1000" w:cs="SFRM1000"/>
              <w:sz w:val="20"/>
              <w:szCs w:val="20"/>
            </w:rPr>
            <w:fldChar w:fldCharType="begin"/>
          </w:r>
          <w:r>
            <w:rPr>
              <w:rFonts w:ascii="SFRM1000" w:hAnsi="SFRM1000" w:cs="SFRM1000"/>
              <w:sz w:val="20"/>
              <w:szCs w:val="20"/>
            </w:rPr>
            <w:instrText xml:space="preserve"> CITATION dfsdf \l 3082 </w:instrText>
          </w:r>
          <w:r>
            <w:rPr>
              <w:rFonts w:ascii="SFRM1000" w:hAnsi="SFRM1000" w:cs="SFRM1000"/>
              <w:sz w:val="20"/>
              <w:szCs w:val="20"/>
            </w:rPr>
            <w:fldChar w:fldCharType="separate"/>
          </w:r>
          <w:r w:rsidRPr="00BB28D4">
            <w:rPr>
              <w:rFonts w:ascii="SFRM1000" w:hAnsi="SFRM1000" w:cs="SFRM1000"/>
              <w:noProof/>
              <w:sz w:val="20"/>
              <w:szCs w:val="20"/>
            </w:rPr>
            <w:t>[4]</w:t>
          </w:r>
          <w:r>
            <w:rPr>
              <w:rFonts w:ascii="SFRM1000" w:hAnsi="SFRM1000" w:cs="SFRM1000"/>
              <w:sz w:val="20"/>
              <w:szCs w:val="20"/>
            </w:rPr>
            <w:fldChar w:fldCharType="end"/>
          </w:r>
        </w:sdtContent>
      </w:sdt>
      <w:r>
        <w:rPr>
          <w:rFonts w:ascii="SFRM1000" w:hAnsi="SFRM1000" w:cs="SFRM1000"/>
          <w:sz w:val="20"/>
          <w:szCs w:val="20"/>
        </w:rPr>
        <w:t xml:space="preserve">  </w:t>
      </w:r>
      <w:r>
        <w:rPr>
          <w:rFonts w:ascii="SFRM1000" w:hAnsi="SFRM1000" w:cs="SFRM1000"/>
          <w:sz w:val="20"/>
          <w:szCs w:val="20"/>
        </w:rPr>
        <w:t>W. Gautschi, A survey of Gauss-Christoffel quadrature formulae, em “E.B.</w:t>
      </w:r>
    </w:p>
    <w:p w:rsidR="00BB28D4" w:rsidRDefault="00BB28D4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     </w:t>
      </w:r>
      <w:r>
        <w:rPr>
          <w:rFonts w:ascii="SFRM1000" w:hAnsi="SFRM1000" w:cs="SFRM1000"/>
          <w:sz w:val="20"/>
          <w:szCs w:val="20"/>
        </w:rPr>
        <w:t>Christoffel - The influence of his work in mathematics and physical sciences”</w:t>
      </w:r>
    </w:p>
    <w:p w:rsidR="00BB28D4" w:rsidRDefault="00BB28D4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     </w:t>
      </w:r>
      <w:r>
        <w:rPr>
          <w:rFonts w:ascii="SFRM1000" w:hAnsi="SFRM1000" w:cs="SFRM1000"/>
          <w:sz w:val="20"/>
          <w:szCs w:val="20"/>
        </w:rPr>
        <w:t>(P.L. Butzer e F. Fehér, eds.), pp. 72-147, Birkhäuser Verlag, Basel, 1981.</w:t>
      </w:r>
    </w:p>
    <w:p w:rsidR="00BB28D4" w:rsidRDefault="00BB28D4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BB28D4" w:rsidRPr="00BB28D4" w:rsidRDefault="00BB28D4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sdt>
        <w:sdtPr>
          <w:rPr>
            <w:rFonts w:ascii="SFRM1000" w:hAnsi="SFRM1000" w:cs="SFRM1000"/>
            <w:sz w:val="20"/>
            <w:szCs w:val="20"/>
          </w:rPr>
          <w:id w:val="-403841014"/>
          <w:citation/>
        </w:sdtPr>
        <w:sdtContent>
          <w:r>
            <w:rPr>
              <w:rFonts w:ascii="SFRM1000" w:hAnsi="SFRM1000" w:cs="SFRM1000"/>
              <w:sz w:val="20"/>
              <w:szCs w:val="20"/>
            </w:rPr>
            <w:fldChar w:fldCharType="begin"/>
          </w:r>
          <w:r>
            <w:rPr>
              <w:rFonts w:ascii="SFRM1000" w:hAnsi="SFRM1000" w:cs="SFRM1000"/>
              <w:sz w:val="20"/>
              <w:szCs w:val="20"/>
            </w:rPr>
            <w:instrText xml:space="preserve"> CITATION opop \l 3082 </w:instrText>
          </w:r>
          <w:r>
            <w:rPr>
              <w:rFonts w:ascii="SFRM1000" w:hAnsi="SFRM1000" w:cs="SFRM1000"/>
              <w:sz w:val="20"/>
              <w:szCs w:val="20"/>
            </w:rPr>
            <w:fldChar w:fldCharType="separate"/>
          </w:r>
          <w:r w:rsidRPr="00BB28D4">
            <w:rPr>
              <w:rFonts w:ascii="SFRM1000" w:hAnsi="SFRM1000" w:cs="SFRM1000"/>
              <w:noProof/>
              <w:sz w:val="20"/>
              <w:szCs w:val="20"/>
            </w:rPr>
            <w:t>[5]</w:t>
          </w:r>
          <w:r>
            <w:rPr>
              <w:rFonts w:ascii="SFRM1000" w:hAnsi="SFRM1000" w:cs="SFRM1000"/>
              <w:sz w:val="20"/>
              <w:szCs w:val="20"/>
            </w:rPr>
            <w:fldChar w:fldCharType="end"/>
          </w:r>
        </w:sdtContent>
      </w:sdt>
      <w:r>
        <w:rPr>
          <w:rFonts w:ascii="SFRM1000" w:hAnsi="SFRM1000" w:cs="SFRM1000"/>
          <w:sz w:val="20"/>
          <w:szCs w:val="20"/>
        </w:rPr>
        <w:t xml:space="preserve"> </w:t>
      </w:r>
      <w:r w:rsidRPr="00BB28D4">
        <w:rPr>
          <w:rFonts w:ascii="SFRM1000" w:hAnsi="SFRM1000" w:cs="SFRM1000"/>
          <w:sz w:val="20"/>
          <w:szCs w:val="20"/>
        </w:rPr>
        <w:t>W.B. Jones, O. Njåstad, W.J. Thron, Schur fractions, Perron Carathéodory</w:t>
      </w:r>
    </w:p>
    <w:p w:rsidR="00BB28D4" w:rsidRPr="00BB28D4" w:rsidRDefault="00BB28D4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     </w:t>
      </w:r>
      <w:r w:rsidRPr="00BB28D4">
        <w:rPr>
          <w:rFonts w:ascii="SFRM1000" w:hAnsi="SFRM1000" w:cs="SFRM1000"/>
          <w:sz w:val="20"/>
          <w:szCs w:val="20"/>
        </w:rPr>
        <w:t>fractions and Szego Polynomials, a survey, em “Analytic Theory of Continued</w:t>
      </w:r>
    </w:p>
    <w:p w:rsidR="00BB28D4" w:rsidRPr="00BB28D4" w:rsidRDefault="00BB28D4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     </w:t>
      </w:r>
      <w:r w:rsidRPr="00BB28D4">
        <w:rPr>
          <w:rFonts w:ascii="SFRM1000" w:hAnsi="SFRM1000" w:cs="SFRM1000"/>
          <w:sz w:val="20"/>
          <w:szCs w:val="20"/>
        </w:rPr>
        <w:t>Fractions II” (W.J Thron, ed.), Lecture Notes in Mathematics, Vol. 1199, pp.</w:t>
      </w:r>
    </w:p>
    <w:p w:rsidR="00BB28D4" w:rsidRDefault="00BB28D4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     </w:t>
      </w:r>
      <w:r w:rsidRPr="00BB28D4">
        <w:rPr>
          <w:rFonts w:ascii="SFRM1000" w:hAnsi="SFRM1000" w:cs="SFRM1000"/>
          <w:sz w:val="20"/>
          <w:szCs w:val="20"/>
        </w:rPr>
        <w:t>127-158, Springer Verlag, Berlin, 1986.</w:t>
      </w:r>
    </w:p>
    <w:p w:rsidR="00BB28D4" w:rsidRDefault="00BB28D4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BB28D4" w:rsidRDefault="00BB28D4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sdt>
        <w:sdtPr>
          <w:rPr>
            <w:rFonts w:ascii="SFRM1000" w:hAnsi="SFRM1000" w:cs="SFRM1000"/>
            <w:sz w:val="20"/>
            <w:szCs w:val="20"/>
          </w:rPr>
          <w:id w:val="1151800104"/>
          <w:citation/>
        </w:sdtPr>
        <w:sdtContent>
          <w:r>
            <w:rPr>
              <w:rFonts w:ascii="SFRM1000" w:hAnsi="SFRM1000" w:cs="SFRM1000"/>
              <w:sz w:val="20"/>
              <w:szCs w:val="20"/>
            </w:rPr>
            <w:fldChar w:fldCharType="begin"/>
          </w:r>
          <w:r>
            <w:rPr>
              <w:rFonts w:ascii="SFRM1000" w:hAnsi="SFRM1000" w:cs="SFRM1000"/>
              <w:sz w:val="20"/>
              <w:szCs w:val="20"/>
            </w:rPr>
            <w:instrText xml:space="preserve"> CITATION ds \l 3082 </w:instrText>
          </w:r>
          <w:r>
            <w:rPr>
              <w:rFonts w:ascii="SFRM1000" w:hAnsi="SFRM1000" w:cs="SFRM1000"/>
              <w:sz w:val="20"/>
              <w:szCs w:val="20"/>
            </w:rPr>
            <w:fldChar w:fldCharType="separate"/>
          </w:r>
          <w:r w:rsidRPr="00BB28D4">
            <w:rPr>
              <w:rFonts w:ascii="SFRM1000" w:hAnsi="SFRM1000" w:cs="SFRM1000"/>
              <w:noProof/>
              <w:sz w:val="20"/>
              <w:szCs w:val="20"/>
            </w:rPr>
            <w:t>[6]</w:t>
          </w:r>
          <w:r>
            <w:rPr>
              <w:rFonts w:ascii="SFRM1000" w:hAnsi="SFRM1000" w:cs="SFRM1000"/>
              <w:sz w:val="20"/>
              <w:szCs w:val="20"/>
            </w:rPr>
            <w:fldChar w:fldCharType="end"/>
          </w:r>
        </w:sdtContent>
      </w:sdt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O.L. Linhares, “Sobre a Racionalização de dois Algoritmos Numéricos”, Tese de</w:t>
      </w:r>
    </w:p>
    <w:p w:rsidR="00BB28D4" w:rsidRDefault="00BB28D4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     </w:t>
      </w:r>
      <w:r>
        <w:rPr>
          <w:rFonts w:ascii="SFRM1000" w:hAnsi="SFRM1000" w:cs="SFRM1000"/>
          <w:sz w:val="20"/>
          <w:szCs w:val="20"/>
        </w:rPr>
        <w:t>Doutorado, EESC, USP, São Carlos, SP, 1968.</w:t>
      </w:r>
    </w:p>
    <w:p w:rsidR="00BB28D4" w:rsidRDefault="00BB28D4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01308C" w:rsidRDefault="0001308C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sdt>
        <w:sdtPr>
          <w:rPr>
            <w:rFonts w:ascii="SFRM1000" w:hAnsi="SFRM1000" w:cs="SFRM1000"/>
            <w:sz w:val="20"/>
            <w:szCs w:val="20"/>
          </w:rPr>
          <w:id w:val="742225816"/>
          <w:citation/>
        </w:sdtPr>
        <w:sdtContent>
          <w:r>
            <w:rPr>
              <w:rFonts w:ascii="SFRM1000" w:hAnsi="SFRM1000" w:cs="SFRM1000"/>
              <w:sz w:val="20"/>
              <w:szCs w:val="20"/>
            </w:rPr>
            <w:fldChar w:fldCharType="begin"/>
          </w:r>
          <w:r>
            <w:rPr>
              <w:rFonts w:ascii="SFRM1000" w:hAnsi="SFRM1000" w:cs="SFRM1000"/>
              <w:sz w:val="20"/>
              <w:szCs w:val="20"/>
            </w:rPr>
            <w:instrText xml:space="preserve"> CITATION MarcadorDePosición1 \l 3082 </w:instrText>
          </w:r>
          <w:r>
            <w:rPr>
              <w:rFonts w:ascii="SFRM1000" w:hAnsi="SFRM1000" w:cs="SFRM1000"/>
              <w:sz w:val="20"/>
              <w:szCs w:val="20"/>
            </w:rPr>
            <w:fldChar w:fldCharType="separate"/>
          </w:r>
          <w:r w:rsidRPr="0001308C">
            <w:rPr>
              <w:rFonts w:ascii="SFRM1000" w:hAnsi="SFRM1000" w:cs="SFRM1000"/>
              <w:noProof/>
              <w:sz w:val="20"/>
              <w:szCs w:val="20"/>
            </w:rPr>
            <w:t>[7]</w:t>
          </w:r>
          <w:r>
            <w:rPr>
              <w:rFonts w:ascii="SFRM1000" w:hAnsi="SFRM1000" w:cs="SFRM1000"/>
              <w:sz w:val="20"/>
              <w:szCs w:val="20"/>
            </w:rPr>
            <w:fldChar w:fldCharType="end"/>
          </w:r>
        </w:sdtContent>
      </w:sdt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J. de Oliveira, A. Castelo Filho, Freeflow-2D - Um sistema de simulação de</w:t>
      </w:r>
    </w:p>
    <w:p w:rsidR="0001308C" w:rsidRDefault="0001308C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     </w:t>
      </w:r>
      <w:r>
        <w:rPr>
          <w:rFonts w:ascii="SFRM1000" w:hAnsi="SFRM1000" w:cs="SFRM1000"/>
          <w:sz w:val="20"/>
          <w:szCs w:val="20"/>
        </w:rPr>
        <w:t>escoamentos de fluidos com superfícies livres bidimensionais, em “Seleta do XXII</w:t>
      </w:r>
    </w:p>
    <w:p w:rsidR="0001308C" w:rsidRDefault="0001308C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     </w:t>
      </w:r>
      <w:r>
        <w:rPr>
          <w:rFonts w:ascii="SFRM1000" w:hAnsi="SFRM1000" w:cs="SFRM1000"/>
          <w:sz w:val="20"/>
          <w:szCs w:val="20"/>
        </w:rPr>
        <w:t>CNMAC” (J.M. Balthazar, S.M. Gomes e A. Sri Ranga, eds.), TEMA – Tend.</w:t>
      </w:r>
    </w:p>
    <w:p w:rsidR="00BB28D4" w:rsidRDefault="0001308C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     </w:t>
      </w:r>
      <w:r>
        <w:rPr>
          <w:rFonts w:ascii="SFRM1000" w:hAnsi="SFRM1000" w:cs="SFRM1000"/>
          <w:sz w:val="20"/>
          <w:szCs w:val="20"/>
        </w:rPr>
        <w:t>Mat. Apl. Comput., Vol. 1, pp. 179–192, SBMAC, 2000.</w:t>
      </w:r>
    </w:p>
    <w:p w:rsidR="0001308C" w:rsidRDefault="0001308C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01308C" w:rsidRDefault="0001308C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TI1000" w:hAnsi="SFTI1000" w:cs="SFTI1000"/>
          <w:sz w:val="20"/>
          <w:szCs w:val="20"/>
        </w:rPr>
      </w:pPr>
      <w:sdt>
        <w:sdtPr>
          <w:rPr>
            <w:rFonts w:ascii="SFRM1000" w:hAnsi="SFRM1000" w:cs="SFRM1000"/>
            <w:sz w:val="20"/>
            <w:szCs w:val="20"/>
          </w:rPr>
          <w:id w:val="-1806151306"/>
          <w:citation/>
        </w:sdtPr>
        <w:sdtContent>
          <w:r>
            <w:rPr>
              <w:rFonts w:ascii="SFRM1000" w:hAnsi="SFRM1000" w:cs="SFRM1000"/>
              <w:sz w:val="20"/>
              <w:szCs w:val="20"/>
            </w:rPr>
            <w:fldChar w:fldCharType="begin"/>
          </w:r>
          <w:r>
            <w:rPr>
              <w:rFonts w:ascii="SFRM1000" w:hAnsi="SFRM1000" w:cs="SFRM1000"/>
              <w:sz w:val="20"/>
              <w:szCs w:val="20"/>
            </w:rPr>
            <w:instrText xml:space="preserve"> CITATION MarcadorDePosición2 \l 3082 </w:instrText>
          </w:r>
          <w:r>
            <w:rPr>
              <w:rFonts w:ascii="SFRM1000" w:hAnsi="SFRM1000" w:cs="SFRM1000"/>
              <w:sz w:val="20"/>
              <w:szCs w:val="20"/>
            </w:rPr>
            <w:fldChar w:fldCharType="separate"/>
          </w:r>
          <w:r w:rsidRPr="0001308C">
            <w:rPr>
              <w:rFonts w:ascii="SFRM1000" w:hAnsi="SFRM1000" w:cs="SFRM1000"/>
              <w:noProof/>
              <w:sz w:val="20"/>
              <w:szCs w:val="20"/>
            </w:rPr>
            <w:t>[8]</w:t>
          </w:r>
          <w:r>
            <w:rPr>
              <w:rFonts w:ascii="SFRM1000" w:hAnsi="SFRM1000" w:cs="SFRM1000"/>
              <w:sz w:val="20"/>
              <w:szCs w:val="20"/>
            </w:rPr>
            <w:fldChar w:fldCharType="end"/>
          </w:r>
        </w:sdtContent>
      </w:sdt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L.J. Slater, Further identities of the Rogers-Ramanujan type, </w:t>
      </w:r>
      <w:r>
        <w:rPr>
          <w:rFonts w:ascii="SFTI1000" w:hAnsi="SFTI1000" w:cs="SFTI1000"/>
          <w:sz w:val="20"/>
          <w:szCs w:val="20"/>
        </w:rPr>
        <w:t>Proc. London</w:t>
      </w:r>
    </w:p>
    <w:p w:rsidR="0001308C" w:rsidRDefault="0001308C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  <w:r>
        <w:rPr>
          <w:rFonts w:ascii="SFTI1000" w:hAnsi="SFTI1000" w:cs="SFTI1000"/>
          <w:sz w:val="20"/>
          <w:szCs w:val="20"/>
        </w:rPr>
        <w:t xml:space="preserve">     </w:t>
      </w:r>
      <w:r>
        <w:rPr>
          <w:rFonts w:ascii="SFTI1000" w:hAnsi="SFTI1000" w:cs="SFTI1000"/>
          <w:sz w:val="20"/>
          <w:szCs w:val="20"/>
        </w:rPr>
        <w:t xml:space="preserve">Math. Soc. </w:t>
      </w:r>
      <w:r>
        <w:rPr>
          <w:rFonts w:ascii="SFBX1000" w:hAnsi="SFBX1000" w:cs="SFBX1000"/>
          <w:sz w:val="20"/>
          <w:szCs w:val="20"/>
        </w:rPr>
        <w:t>54</w:t>
      </w:r>
      <w:r>
        <w:rPr>
          <w:rFonts w:ascii="SFRM1000" w:hAnsi="SFRM1000" w:cs="SFRM1000"/>
          <w:sz w:val="20"/>
          <w:szCs w:val="20"/>
        </w:rPr>
        <w:t>, No. 2 (1952), 147–167.</w:t>
      </w:r>
    </w:p>
    <w:p w:rsidR="00BB28D4" w:rsidRDefault="00BB28D4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BB28D4" w:rsidRDefault="00BB28D4" w:rsidP="0001308C">
      <w:pPr>
        <w:autoSpaceDE w:val="0"/>
        <w:autoSpaceDN w:val="0"/>
        <w:adjustRightInd w:val="0"/>
        <w:spacing w:after="0" w:line="240" w:lineRule="auto"/>
        <w:jc w:val="both"/>
        <w:rPr>
          <w:rFonts w:ascii="SFRM1000" w:hAnsi="SFRM1000" w:cs="SFRM1000"/>
          <w:sz w:val="20"/>
          <w:szCs w:val="20"/>
        </w:rPr>
      </w:pPr>
    </w:p>
    <w:p w:rsidR="00BB28D4" w:rsidRDefault="00BB28D4" w:rsidP="0001308C">
      <w:pPr>
        <w:spacing w:after="0"/>
        <w:jc w:val="both"/>
        <w:rPr>
          <w:rFonts w:ascii="SFRM1000" w:hAnsi="SFRM1000" w:cs="SFRM1000"/>
          <w:sz w:val="20"/>
          <w:szCs w:val="20"/>
        </w:rPr>
      </w:pPr>
    </w:p>
    <w:p w:rsidR="00BB28D4" w:rsidRDefault="00BB28D4" w:rsidP="0001308C">
      <w:pPr>
        <w:spacing w:after="0"/>
        <w:jc w:val="both"/>
        <w:rPr>
          <w:rFonts w:ascii="SFRM1000" w:hAnsi="SFRM1000" w:cs="SFRM1000"/>
          <w:sz w:val="20"/>
          <w:szCs w:val="20"/>
        </w:rPr>
      </w:pPr>
    </w:p>
    <w:p w:rsidR="00BB28D4" w:rsidRDefault="00BB28D4" w:rsidP="0001308C">
      <w:pPr>
        <w:spacing w:after="0"/>
        <w:jc w:val="both"/>
        <w:rPr>
          <w:b/>
          <w:sz w:val="24"/>
        </w:rPr>
      </w:pPr>
    </w:p>
    <w:p w:rsidR="00BB28D4" w:rsidRDefault="00BB28D4" w:rsidP="0001308C">
      <w:pPr>
        <w:spacing w:after="0"/>
        <w:jc w:val="both"/>
        <w:rPr>
          <w:b/>
          <w:sz w:val="24"/>
        </w:rPr>
      </w:pPr>
      <w:bookmarkStart w:id="0" w:name="_GoBack"/>
      <w:bookmarkEnd w:id="0"/>
    </w:p>
    <w:sectPr w:rsidR="00BB28D4" w:rsidSect="00932821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E4C" w:rsidRDefault="00365E4C" w:rsidP="00B16FC3">
      <w:pPr>
        <w:spacing w:after="0" w:line="240" w:lineRule="auto"/>
      </w:pPr>
      <w:r>
        <w:separator/>
      </w:r>
    </w:p>
  </w:endnote>
  <w:endnote w:type="continuationSeparator" w:id="0">
    <w:p w:rsidR="00365E4C" w:rsidRDefault="00365E4C" w:rsidP="00B16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FBX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44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09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L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E4C" w:rsidRDefault="00365E4C" w:rsidP="00B16FC3">
      <w:pPr>
        <w:spacing w:after="0" w:line="240" w:lineRule="auto"/>
      </w:pPr>
      <w:r>
        <w:separator/>
      </w:r>
    </w:p>
  </w:footnote>
  <w:footnote w:type="continuationSeparator" w:id="0">
    <w:p w:rsidR="00365E4C" w:rsidRDefault="00365E4C" w:rsidP="00B16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3357931"/>
      <w:docPartObj>
        <w:docPartGallery w:val="Page Numbers (Top of Page)"/>
        <w:docPartUnique/>
      </w:docPartObj>
    </w:sdtPr>
    <w:sdtContent>
      <w:p w:rsidR="00365E4C" w:rsidRDefault="00365E4C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308C">
          <w:rPr>
            <w:noProof/>
          </w:rPr>
          <w:t>10</w:t>
        </w:r>
        <w:r>
          <w:fldChar w:fldCharType="end"/>
        </w:r>
        <w:r>
          <w:tab/>
          <w:t xml:space="preserve">                                                                                                                                </w:t>
        </w:r>
        <w:r>
          <w:rPr>
            <w:rFonts w:ascii="SFSL1000" w:hAnsi="SFSL1000" w:cs="SFSL1000"/>
            <w:sz w:val="20"/>
            <w:szCs w:val="20"/>
          </w:rPr>
          <w:t>Sri Ranga e Wendland</w:t>
        </w:r>
      </w:p>
    </w:sdtContent>
  </w:sdt>
  <w:p w:rsidR="00365E4C" w:rsidRDefault="00365E4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E4C" w:rsidRDefault="00365E4C" w:rsidP="00932821">
    <w:pPr>
      <w:pStyle w:val="Encabezado"/>
      <w:jc w:val="center"/>
    </w:pPr>
    <w:r>
      <w:rPr>
        <w:rFonts w:ascii="SFSL1000" w:hAnsi="SFSL1000" w:cs="SFSL1000"/>
        <w:sz w:val="20"/>
        <w:szCs w:val="20"/>
      </w:rPr>
      <w:t xml:space="preserve">Instruções para Preparação de Trabalhos                                                                                    </w:t>
    </w:r>
    <w:sdt>
      <w:sdtPr>
        <w:id w:val="-1710951506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1308C">
          <w:rPr>
            <w:noProof/>
          </w:rPr>
          <w:t>9</w:t>
        </w:r>
        <w:r>
          <w:fldChar w:fldCharType="end"/>
        </w:r>
      </w:sdtContent>
    </w:sdt>
  </w:p>
  <w:p w:rsidR="00365E4C" w:rsidRDefault="00365E4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E4C" w:rsidRDefault="00365E4C">
    <w:pPr>
      <w:pStyle w:val="Encabezado"/>
    </w:pPr>
    <w:r>
      <w:t>Submetido para TEMA</w:t>
    </w:r>
  </w:p>
  <w:p w:rsidR="00365E4C" w:rsidRDefault="00365E4C">
    <w:pPr>
      <w:pStyle w:val="Encabezado"/>
    </w:pPr>
    <w:r>
      <w:t>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F2281"/>
    <w:multiLevelType w:val="hybridMultilevel"/>
    <w:tmpl w:val="4BEE6C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dirty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FC3"/>
    <w:rsid w:val="0001308C"/>
    <w:rsid w:val="0007589C"/>
    <w:rsid w:val="001242A0"/>
    <w:rsid w:val="001E4575"/>
    <w:rsid w:val="002432B1"/>
    <w:rsid w:val="0034141F"/>
    <w:rsid w:val="00365E4C"/>
    <w:rsid w:val="00386A7B"/>
    <w:rsid w:val="00467988"/>
    <w:rsid w:val="0058546E"/>
    <w:rsid w:val="0064718F"/>
    <w:rsid w:val="006837DF"/>
    <w:rsid w:val="007A6A94"/>
    <w:rsid w:val="00932821"/>
    <w:rsid w:val="009C440B"/>
    <w:rsid w:val="00B16FC3"/>
    <w:rsid w:val="00BB28D4"/>
    <w:rsid w:val="00DE2DFA"/>
    <w:rsid w:val="00F7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4A0E2"/>
  <w15:chartTrackingRefBased/>
  <w15:docId w15:val="{A5E470FA-3741-4999-A7CA-59108B85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6F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6FC3"/>
  </w:style>
  <w:style w:type="paragraph" w:styleId="Piedepgina">
    <w:name w:val="footer"/>
    <w:basedOn w:val="Normal"/>
    <w:link w:val="PiedepginaCar"/>
    <w:uiPriority w:val="99"/>
    <w:unhideWhenUsed/>
    <w:rsid w:val="00B16F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6FC3"/>
  </w:style>
  <w:style w:type="paragraph" w:styleId="Prrafodelista">
    <w:name w:val="List Paragraph"/>
    <w:basedOn w:val="Normal"/>
    <w:uiPriority w:val="34"/>
    <w:qFormat/>
    <w:rsid w:val="00DE2D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589C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4141F"/>
    <w:rPr>
      <w:color w:val="808080"/>
    </w:rPr>
  </w:style>
  <w:style w:type="table" w:styleId="Tablaconcuadrcula">
    <w:name w:val="Table Grid"/>
    <w:basedOn w:val="Tablanormal"/>
    <w:uiPriority w:val="39"/>
    <w:rsid w:val="00243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FBX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44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09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L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D56"/>
    <w:rsid w:val="00A6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66D5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sssdd</b:Tag>
    <b:SourceType>ArticleInAPeriodical</b:SourceType>
    <b:Guid>{8D527201-D44C-417C-812B-6EFA1E383BAC}</b:Guid>
    <b:Title>ss</b:Title>
    <b:Year>sdd</b:Year>
    <b:Pages>dssd</b:Pages>
    <b:Author>
      <b:Author>
        <b:NameList>
          <b:Person>
            <b:Last>ssss</b:Last>
          </b:Person>
        </b:NameList>
      </b:Author>
    </b:Author>
    <b:PeriodicalTitle>ss</b:PeriodicalTitle>
    <b:Month>dd</b:Month>
    <b:Day>sd</b:Day>
    <b:RefOrder>2</b:RefOrder>
  </b:Source>
  <b:Source>
    <b:Tag>Chi78</b:Tag>
    <b:SourceType>ArticleInAPeriodical</b:SourceType>
    <b:Guid>{8F97F7F4-13F9-44FD-85D1-81B9F8C390B8}</b:Guid>
    <b:Author>
      <b:Author>
        <b:NameList>
          <b:Person>
            <b:Last>Chihara</b:Last>
            <b:First>T.S.</b:First>
          </b:Person>
        </b:NameList>
      </b:Author>
    </b:Author>
    <b:Title>"An Introduction to Orthogonal Polynomials”</b:Title>
    <b:PeriodicalTitle>Mathematics and Applications Series</b:PeriodicalTitle>
    <b:Year>1978</b:Year>
    <b:RefOrder>1</b:RefOrder>
  </b:Source>
  <b:Source>
    <b:Tag>dfsfs</b:Tag>
    <b:SourceType>JournalArticle</b:SourceType>
    <b:Guid>{AF071B15-7F74-4535-8F47-FD181968D801}</b:Guid>
    <b:Title>fsdf</b:Title>
    <b:Year>sdfs</b:Year>
    <b:Pages>sdfs</b:Pages>
    <b:Author>
      <b:Author>
        <b:NameList>
          <b:Person>
            <b:Last>dfsd</b:Last>
          </b:Person>
        </b:NameList>
      </b:Author>
    </b:Author>
    <b:JournalName>sdf</b:JournalName>
    <b:Volume>sdfs</b:Volume>
    <b:Issue>fsdsd</b:Issue>
    <b:RefOrder>3</b:RefOrder>
  </b:Source>
  <b:Source>
    <b:Tag>dfsdf</b:Tag>
    <b:SourceType>ConferenceProceedings</b:SourceType>
    <b:Guid>{EB62E51D-99C0-4B92-B4D1-4012DEF8338A}</b:Guid>
    <b:Title>fsdf</b:Title>
    <b:Year>sdfsdf</b:Year>
    <b:Author>
      <b:Author>
        <b:NameList>
          <b:Person>
            <b:Last>dfsf</b:Last>
          </b:Person>
        </b:NameList>
      </b:Author>
    </b:Author>
    <b:RefOrder>4</b:RefOrder>
  </b:Source>
  <b:Source>
    <b:Tag>opop</b:Tag>
    <b:SourceType>ConferenceProceedings</b:SourceType>
    <b:Guid>{88D6C895-B32F-42C0-B9F8-EA805FAE0376}</b:Guid>
    <b:Author>
      <b:Author>
        <b:NameList>
          <b:Person>
            <b:Last>op</b:Last>
          </b:Person>
        </b:NameList>
      </b:Author>
    </b:Author>
    <b:Title>op</b:Title>
    <b:Year>op</b:Year>
    <b:ConferenceName>op</b:ConferenceName>
    <b:City>po</b:City>
    <b:RefOrder>5</b:RefOrder>
  </b:Source>
  <b:Source>
    <b:Tag>ds</b:Tag>
    <b:SourceType>BookSection</b:SourceType>
    <b:Guid>{5C9B6508-EB55-447F-949D-382D26546CFB}</b:Guid>
    <b:Title>ds</b:Title>
    <b:Author>
      <b:Author>
        <b:NameList>
          <b:Person>
            <b:Last>ds</b:Last>
          </b:Person>
        </b:NameList>
      </b:Author>
    </b:Author>
    <b:BookTitle>sd</b:BookTitle>
    <b:RefOrder>6</b:RefOrder>
  </b:Source>
  <b:Source>
    <b:Tag>MarcadorDePosición1</b:Tag>
    <b:SourceType>JournalArticle</b:SourceType>
    <b:Guid>{1024E97F-55E9-494F-BC62-357E6E901719}</b:Guid>
    <b:RefOrder>7</b:RefOrder>
  </b:Source>
  <b:Source>
    <b:Tag>MarcadorDePosición2</b:Tag>
    <b:SourceType>Book</b:SourceType>
    <b:Guid>{9FD83066-8667-4891-AEF1-CB96E181A1E6}</b:Guid>
    <b:RefOrder>8</b:RefOrder>
  </b:Source>
</b:Sources>
</file>

<file path=customXml/itemProps1.xml><?xml version="1.0" encoding="utf-8"?>
<ds:datastoreItem xmlns:ds="http://schemas.openxmlformats.org/officeDocument/2006/customXml" ds:itemID="{63EDA123-0473-4B60-9350-A5517B525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2494</Words>
  <Characters>13718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CSUNSA201</dc:creator>
  <cp:keywords/>
  <dc:description/>
  <cp:lastModifiedBy>CSUNSA201</cp:lastModifiedBy>
  <cp:revision>5</cp:revision>
  <dcterms:created xsi:type="dcterms:W3CDTF">2016-10-06T20:06:00Z</dcterms:created>
  <dcterms:modified xsi:type="dcterms:W3CDTF">2016-10-06T19:26:00Z</dcterms:modified>
</cp:coreProperties>
</file>