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80"/>
      </w:pPr>
      <w:r>
        <w:rPr>
          <w:rFonts w:ascii="Arial" w:cs="Arial" w:eastAsia="Arial" w:hAnsi="Arial"/>
          <w:b/>
          <w:bCs/>
          <w:color w:val="182952"/>
          <w:sz w:val="48"/>
          <w:szCs w:val="48"/>
        </w:rPr>
        <w:t xml:space="preserve">PRODUCT ARCHITECTURE DOCUMENT</w:t>
      </w:r>
    </w:p>
    <w:p>
      <w:pPr>
        <w:pBdr>
          <w:bottom w:val="single" w:color="F4B639" w:sz="8" w:space="4"/>
        </w:pBdr>
        <w:spacing w:before="0" w:after="240"/>
      </w:pPr>
      <w:r>
        <w:rPr>
          <w:rFonts w:ascii="Arial" w:cs="Arial" w:eastAsia="Arial" w:hAnsi="Arial"/>
          <w:color w:val="444466"/>
          <w:sz w:val="28"/>
          <w:szCs w:val="28"/>
        </w:rPr>
        <w:t xml:space="preserve">Systém automatizovaných daňových notifikací</w:t>
      </w:r>
    </w:p>
    <w:p>
      <w:pPr>
        <w:spacing w:before="160" w:after="0"/>
      </w:pPr>
      <w:r>
        <w:t xml:space="preserve"/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6"/>
      </w:tblGrid>
      <w:tr>
        <w:trPr>
          <w:tblHeader/>
        </w:trPr>
        <w:tc>
          <w:tcPr>
            <w:tcW w:type="dxa" w:w="32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18295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Parametr</w:t>
            </w:r>
          </w:p>
        </w:tc>
        <w:tc>
          <w:tcPr>
            <w:tcW w:type="dxa" w:w="5806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18295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Hodnota</w:t>
            </w:r>
          </w:p>
        </w:tc>
      </w:tr>
      <w:tr>
        <w:tc>
          <w:tcPr>
            <w:tcW w:type="dxa" w:w="32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Klient</w:t>
            </w:r>
          </w:p>
        </w:tc>
        <w:tc>
          <w:tcPr>
            <w:tcW w:type="dxa" w:w="5806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Česká účetní firma (8 zaměstnanců)</w:t>
            </w:r>
          </w:p>
        </w:tc>
      </w:tr>
      <w:tr>
        <w:tc>
          <w:tcPr>
            <w:tcW w:type="dxa" w:w="32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Segment</w:t>
            </w:r>
          </w:p>
        </w:tc>
        <w:tc>
          <w:tcPr>
            <w:tcW w:type="dxa" w:w="5806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OSVČ a malé firmy (1–10 zaměstnanců)</w:t>
            </w:r>
          </w:p>
        </w:tc>
      </w:tr>
      <w:tr>
        <w:tc>
          <w:tcPr>
            <w:tcW w:type="dxa" w:w="32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Stav</w:t>
            </w:r>
          </w:p>
        </w:tc>
        <w:tc>
          <w:tcPr>
            <w:tcW w:type="dxa" w:w="5806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Product Architecture Document — verze 1.2</w:t>
            </w:r>
          </w:p>
        </w:tc>
      </w:tr>
      <w:tr>
        <w:tc>
          <w:tcPr>
            <w:tcW w:type="dxa" w:w="32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Datum</w:t>
            </w:r>
          </w:p>
        </w:tc>
        <w:tc>
          <w:tcPr>
            <w:tcW w:type="dxa" w:w="5806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Březen 2026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4B639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82952"/>
          <w:sz w:val="28"/>
          <w:szCs w:val="28"/>
        </w:rPr>
        <w:t xml:space="preserve">Kapitola 1 — Strategický rámec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82952"/>
          <w:sz w:val="22"/>
          <w:szCs w:val="22"/>
        </w:rPr>
        <w:t xml:space="preserve">Problém (ne symptom)</w:t>
      </w:r>
    </w:p>
    <w:p>
      <w:pPr>
        <w:spacing w:before="4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OSVČ a majitelé malých firem nemají spolehlivý systém pro sledování svých daňových a odvodových povinností. Neví, co mají kdy platit, nereagují proaktivně na legislativní změny — a v důsledku toho mají obtíže s plánováním cashflow: neočekávané odvody způsobují finanční šoky, protože klient nebyl s dostatečným předstihem upozorněn, co a kdy zaplatí.</w:t>
      </w:r>
    </w:p>
    <w:p>
      <w:pPr>
        <w:spacing w:before="4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Důsledek: Účetní firma funguje jako záchranná brzda — urguje klienty těsně před termíny. Tato práce je administrativně nákladná, opakující se a nenese žádnou přidanou hodnotu pro firmu ani klienta.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82952"/>
          <w:sz w:val="22"/>
          <w:szCs w:val="22"/>
        </w:rPr>
        <w:t xml:space="preserve">Primární aktér</w:t>
      </w:r>
    </w:p>
    <w:p>
      <w:pPr>
        <w:spacing w:before="4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OSVČ a majitelé malých firem (1–10 zaměstnanců) — stávající klienti účetní firmy. Lidé, kteří nejsou finančně ani legislativně vzdělaní, nepovažují správu povinností za svou práci a spoléhají se na účetního.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82952"/>
          <w:sz w:val="22"/>
          <w:szCs w:val="22"/>
        </w:rPr>
        <w:t xml:space="preserve">Kdo nese odpovědnost</w:t>
      </w:r>
    </w:p>
    <w:p>
      <w:pPr>
        <w:spacing w:before="4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Dnes: Účetní firma — de facto přebírá odpovědnost za to, že klient nezapomene. Informace posílá manuálně, reaktivně, v těsných termínech.</w:t>
      </w:r>
    </w:p>
    <w:p>
      <w:pPr>
        <w:spacing w:before="4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Cílový stav: Odpovědnost zůstává na klientovi, ale systém mu ji strukturovaně připomíná s dostatečným předstihem.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82952"/>
          <w:sz w:val="22"/>
          <w:szCs w:val="22"/>
        </w:rPr>
        <w:t xml:space="preserve">Kde vzniká hodnota a kde vzniká ztráta</w:t>
      </w:r>
    </w:p>
    <w:p>
      <w:pPr>
        <w:spacing w:before="60" w:after="0"/>
      </w:pPr>
      <w:r>
        <w:t xml:space="preserve"/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6"/>
      </w:tblGrid>
      <w:tr>
        <w:trPr>
          <w:tblHeader/>
        </w:trPr>
        <w:tc>
          <w:tcPr>
            <w:tcW w:type="dxa" w:w="28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18295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Aktér</w:t>
            </w:r>
          </w:p>
        </w:tc>
        <w:tc>
          <w:tcPr>
            <w:tcW w:type="dxa" w:w="6206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18295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Hodnota</w:t>
            </w:r>
          </w:p>
        </w:tc>
      </w:tr>
      <w:tr>
        <w:tc>
          <w:tcPr>
            <w:tcW w:type="dxa" w:w="28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Klient (OSVČ)</w:t>
            </w:r>
          </w:p>
        </w:tc>
        <w:tc>
          <w:tcPr>
            <w:tcW w:type="dxa" w:w="6206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Klid, přehled, žádná překvapení, žádné pokuty, možnost plánovat cashflow s předstihem</w:t>
            </w:r>
          </w:p>
        </w:tc>
      </w:tr>
      <w:tr>
        <w:tc>
          <w:tcPr>
            <w:tcW w:type="dxa" w:w="28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Účetní firma</w:t>
            </w:r>
          </w:p>
        </w:tc>
        <w:tc>
          <w:tcPr>
            <w:tcW w:type="dxa" w:w="6206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Úspora času na urgencích, silnější vztah s klientem, retence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6"/>
      </w:tblGrid>
      <w:tr>
        <w:trPr>
          <w:tblHeader/>
        </w:trPr>
        <w:tc>
          <w:tcPr>
            <w:tcW w:type="dxa" w:w="28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18295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Aktér</w:t>
            </w:r>
          </w:p>
        </w:tc>
        <w:tc>
          <w:tcPr>
            <w:tcW w:type="dxa" w:w="6206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18295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Ztráta</w:t>
            </w:r>
          </w:p>
        </w:tc>
      </w:tr>
      <w:tr>
        <w:tc>
          <w:tcPr>
            <w:tcW w:type="dxa" w:w="28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Klient</w:t>
            </w:r>
          </w:p>
        </w:tc>
        <w:tc>
          <w:tcPr>
            <w:tcW w:type="dxa" w:w="6206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Stres, riziko pokuty, reaktivní chování, cashflow šoky</w:t>
            </w:r>
          </w:p>
        </w:tc>
      </w:tr>
      <w:tr>
        <w:tc>
          <w:tcPr>
            <w:tcW w:type="dxa" w:w="28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Účetní firma</w:t>
            </w:r>
          </w:p>
        </w:tc>
        <w:tc>
          <w:tcPr>
            <w:tcW w:type="dxa" w:w="6206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Opakovaná manuální práce bez přidané hodnoty, reputační riziko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82952"/>
          <w:sz w:val="22"/>
          <w:szCs w:val="22"/>
        </w:rPr>
        <w:t xml:space="preserve">Jak problém řeší dnes (bez systému)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Klient: sporadické poznámky v kalendáři nebo Excelu — nebo vůbec nic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Účetní firma: manuální urgence e-mailem/telefonem těsně před termínem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Výsledek: reaktivní, stresující, nespolehlivé pro obě strany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82952"/>
          <w:sz w:val="22"/>
          <w:szCs w:val="22"/>
        </w:rPr>
        <w:t xml:space="preserve">Trigger ke změně</w:t>
      </w:r>
    </w:p>
    <w:p>
      <w:pPr>
        <w:spacing w:before="4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Účetní firma si uvědomuje, že dělá práci, která by mohla být automatizovaná — a zároveň chce tuto práci proměnit v konkurenční výhodu (loajalita klientů, diferenciace od jiných účetních).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82952"/>
          <w:sz w:val="22"/>
          <w:szCs w:val="22"/>
        </w:rPr>
        <w:t xml:space="preserve">Business case</w:t>
      </w:r>
    </w:p>
    <w:p>
      <w:pPr>
        <w:spacing w:before="4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Automatizace opakované administrativní komunikace s přímou úsporou provozních nákladů firmy. Cílová úspora odpovídá 1–2 FTE juniorních pracovníků, kteří dnes věnují čas manuálním urgencím místo odborným službám — orientačně [DOPLNIT: Kč/rok po změření baseline].</w:t>
      </w:r>
    </w:p>
    <w:p>
      <w:pPr>
        <w:spacing w:before="4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Produkt není navržen jako přímý zdroj příjmu — jde o strategickou interní investici. Tato volba byla vědomě odsouhlasena. Hodnota je trojí: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úspora provozních nákladů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retence klientů díky systematické péči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diferenciace od konkurenčních účetních firem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F4B639" w:sz="12"/>
              <w:bottom w:val="none" w:color="FFFFFF" w:sz="0"/>
              <w:right w:val="none" w:color="FFFFFF" w:sz="0"/>
            </w:tcBorders>
            <w:shd w:fill="F5F6F8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55577"/>
                <w:sz w:val="19"/>
                <w:szCs w:val="19"/>
              </w:rPr>
              <w:t xml:space="preserve">Poznámka k budoucím fázím: Pokud by v horizontu V3+ vznikl záměr rozšířit produkt na akvizici nových klientů, bude nutné přehodnotit model financování produktu a architektonickou závislost na Heliosu — viz Kapitola 6.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4B639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82952"/>
          <w:sz w:val="28"/>
          <w:szCs w:val="28"/>
        </w:rPr>
        <w:t xml:space="preserve">Kapitola 2 — Architektura systému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82952"/>
          <w:sz w:val="22"/>
          <w:szCs w:val="22"/>
        </w:rPr>
        <w:t xml:space="preserve">Core Job systému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F4B639" w:sz="12"/>
              <w:bottom w:val="none" w:color="FFFFFF" w:sz="0"/>
              <w:right w:val="none" w:color="FFFFFF" w:sz="0"/>
            </w:tcBorders>
            <w:shd w:fill="F5F6F8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55577"/>
                <w:sz w:val="19"/>
                <w:szCs w:val="19"/>
              </w:rPr>
              <w:t xml:space="preserve">Automaticky upozornit správného klienta ve správný čas na jeho konkrétní povinnosti — s dostatečným předstihem — na základě dat z Heliosu a centrálního daňového kalendáře MFČR.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82952"/>
          <w:sz w:val="22"/>
          <w:szCs w:val="22"/>
        </w:rPr>
        <w:t xml:space="preserve">System Boundary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18295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Dovnitř</w:t>
            </w:r>
          </w:p>
        </w:tc>
        <w:tc>
          <w:tcPr>
            <w:tcW w:type="dxa" w:w="4513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18295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Ven</w:t>
            </w:r>
          </w:p>
        </w:tc>
      </w:tr>
      <w:tr>
        <w:tc>
          <w:tcPr>
            <w:tcW w:type="dxa" w:w="4513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Data o klientech z Heliosu (typ subjektu, DPH status, zaměstnanci, e-mail)</w:t>
            </w:r>
          </w:p>
        </w:tc>
        <w:tc>
          <w:tcPr>
            <w:tcW w:type="dxa" w:w="4513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Personalizované e-mailové notifikace</w:t>
            </w:r>
          </w:p>
        </w:tc>
      </w:tr>
      <w:tr>
        <w:tc>
          <w:tcPr>
            <w:tcW w:type="dxa" w:w="4513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Centrální daňový kalendář z otevřených dat MFČR (automaticky stahován)</w:t>
            </w:r>
          </w:p>
        </w:tc>
        <w:tc>
          <w:tcPr>
            <w:tcW w:type="dxa" w:w="4513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Přehled pro účetní (kdo byl upozorněn, co čeká)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82952"/>
          <w:sz w:val="22"/>
          <w:szCs w:val="22"/>
        </w:rPr>
        <w:t xml:space="preserve">Source of Truth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18295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dxa" w:w="4513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18295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Zdroj</w:t>
            </w:r>
          </w:p>
        </w:tc>
      </w:tr>
      <w:tr>
        <w:tc>
          <w:tcPr>
            <w:tcW w:type="dxa" w:w="4513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Profil klienta (typ, DPH, zaměstnanci, e-mail)</w:t>
            </w:r>
          </w:p>
        </w:tc>
        <w:tc>
          <w:tcPr>
            <w:tcW w:type="dxa" w:w="4513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Helios — vždy nadřazený</w:t>
            </w:r>
          </w:p>
        </w:tc>
      </w:tr>
      <w:tr>
        <w:tc>
          <w:tcPr>
            <w:tcW w:type="dxa" w:w="4513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Legislativní termíny — master kalendář (centrální daňový kalendář)</w:t>
            </w:r>
          </w:p>
        </w:tc>
        <w:tc>
          <w:tcPr>
            <w:tcW w:type="dxa" w:w="4513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MFČR Otevřená data — automaticky stahovaný zdroj</w:t>
            </w:r>
          </w:p>
        </w:tc>
      </w:tr>
      <w:tr>
        <w:tc>
          <w:tcPr>
            <w:tcW w:type="dxa" w:w="4513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Mapovací pravidla (který typ klienta má které povinnosti)</w:t>
            </w:r>
          </w:p>
        </w:tc>
        <w:tc>
          <w:tcPr>
            <w:tcW w:type="dxa" w:w="4513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Interní konfigurace — spravuje účetní firma</w:t>
            </w:r>
          </w:p>
        </w:tc>
      </w:tr>
      <w:tr>
        <w:tc>
          <w:tcPr>
            <w:tcW w:type="dxa" w:w="4513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Historie notifikací</w:t>
            </w:r>
          </w:p>
        </w:tc>
        <w:tc>
          <w:tcPr>
            <w:tcW w:type="dxa" w:w="4513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Nový systém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F4B639" w:sz="12"/>
              <w:bottom w:val="none" w:color="FFFFFF" w:sz="0"/>
              <w:right w:val="none" w:color="FFFFFF" w:sz="0"/>
            </w:tcBorders>
            <w:shd w:fill="F5F6F8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55577"/>
                <w:sz w:val="19"/>
                <w:szCs w:val="19"/>
              </w:rPr>
              <w:t xml:space="preserve">Řešení nesouladu dat: V případě konfliktu mezi daty v systému a daty v Heliosu jsou data z Heliosu vždy autoritativní. Systém při každém batch sync přepíše lokální profil klienta hodnotami z Heliosu bez výjimky. V případě změny dat MFČR Open Data se aktualizuje master kalendář při nejbližším plánovaném importu — mapovací pravidla zůstávají nezměněna, pokud je firma manuálně neupraví.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82952"/>
          <w:sz w:val="22"/>
          <w:szCs w:val="22"/>
        </w:rPr>
        <w:t xml:space="preserve">5 Modulů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82952"/>
          <w:sz w:val="20"/>
          <w:szCs w:val="20"/>
        </w:rPr>
        <w:t xml:space="preserve">M1 — Helios Sync</w:t>
      </w:r>
    </w:p>
    <w:p>
      <w:pPr>
        <w:spacing w:before="4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Pravidelná synchronizace klientských dat z Heliosu. Zachytává změny (nový klient, změna DPH statusu, ukončení, obnovení). Jednosměrná — systém do Heliosu nikdy nezapisuje.</w:t>
      </w:r>
    </w:p>
    <w:p>
      <w:pPr>
        <w:spacing w:before="4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Validace při každém batch sync: e-mail klienta je povinně validován (formát, přítomnost). Klienti s nevalidním e-mailem jsou přesunuti do stavu "vyžaduje pozornost" a zobrazeni v admin dashboardu.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82952" w:sz="4"/>
              <w:left w:val="single" w:color="F4B639" w:sz="12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D4037"/>
                <w:sz w:val="19"/>
                <w:szCs w:val="19"/>
              </w:rPr>
              <w:t xml:space="preserve">⚠ Technická závislost: REST API Helios Orange — verifikovat dostupnost dle licence. Fallback: plánovaný CSV export.</w:t>
            </w:r>
          </w:p>
        </w:tc>
      </w:tr>
    </w:tbl>
    <w:p>
      <w:pPr>
        <w:spacing w:before="200" w:after="60"/>
      </w:pPr>
      <w:r>
        <w:rPr>
          <w:rFonts w:ascii="Arial" w:cs="Arial" w:eastAsia="Arial" w:hAnsi="Arial"/>
          <w:b/>
          <w:bCs/>
          <w:color w:val="182952"/>
          <w:sz w:val="20"/>
          <w:szCs w:val="20"/>
        </w:rPr>
        <w:t xml:space="preserve">M2 — Client Profile &amp; Obligation Mapping</w:t>
      </w:r>
    </w:p>
    <w:p>
      <w:pPr>
        <w:spacing w:before="4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Na základě atributů klienta (OSVČ/s.r.o., plátce DPH ano/ne, frekvence DPH, zaměstnanci ano/ne) přiřadí klientovi relevantní sadu povinností z master kalendáře. Při změně profilu přepočítá automaticky.</w:t>
      </w:r>
    </w:p>
    <w:p>
      <w:pPr>
        <w:spacing w:before="4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Mapovací pravidla (např. "plátce DPH čtvrtletní → povinnosti X, Y, Z") spravuje účetní firma v admin rozhraní. Tato pravidla jsou oddělena od zdrojových dat MFČR — aktualizace kalendáře nemění mapovací logiku.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82952"/>
          <w:sz w:val="20"/>
          <w:szCs w:val="20"/>
        </w:rPr>
        <w:t xml:space="preserve">M3 — Obligation Calendar Engine</w:t>
      </w:r>
    </w:p>
    <w:p>
      <w:pPr>
        <w:spacing w:before="40"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Tento modul má dvě oddělené odpovědnosti:</w:t>
      </w:r>
    </w:p>
    <w:p>
      <w:pPr>
        <w:spacing w:before="40" w:after="0"/>
      </w:pPr>
      <w:r>
        <w:t xml:space="preserve"/>
      </w:r>
    </w:p>
    <w:p>
      <w:pPr>
        <w:spacing w:before="40"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(a) Import master kalendáře z MFČR Open Data</w:t>
      </w:r>
    </w:p>
    <w:p>
      <w:pPr>
        <w:spacing w:before="4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Systém pravidelně stahuje centrální daňový kalendář z portálu otevřených dat MFČR (datová sada Daňový kalendář). Tento zdroj neposkytuje personalizované API — publikuje centrální přehled termínů a typů povinností. Import probíhá jako plánovaná dávková úloha (frekvence: týdenní nebo při detekci změny). Stažená data tvoří master kalendář systému.</w:t>
      </w:r>
    </w:p>
    <w:p>
      <w:pPr>
        <w:spacing w:before="40" w:after="0"/>
      </w:pPr>
      <w:r>
        <w:t xml:space="preserve"/>
      </w:r>
    </w:p>
    <w:p>
      <w:pPr>
        <w:spacing w:before="40"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(b) Personalizace termínů na profil klienta</w:t>
      </w:r>
    </w:p>
    <w:p>
      <w:pPr>
        <w:spacing w:before="4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Na základě mapovacích pravidel definovaných v M2 přiřadí engine každému klientovi podmnožinu termínů z master kalendáře odpovídající jeho profilu (např. klient označený jako "plátce DPH, měsíční" obdrží pouze termíny relevantní pro tuto kategorii). Výsledkem je personalizovaný kalendář povinností pro každého klienta.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82952" w:sz="4"/>
              <w:left w:val="single" w:color="F4B639" w:sz="12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D4037"/>
                <w:sz w:val="19"/>
                <w:szCs w:val="19"/>
              </w:rPr>
              <w:t xml:space="preserve">⚠ Technická závislost: Datová sada MFČR Otevřená data / Daňový kalendář — verifikovat stabilitu formátu a frekvenci publikace.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5D4037"/>
                <w:sz w:val="19"/>
                <w:szCs w:val="19"/>
              </w:rPr>
              <w:t xml:space="preserve">Fallback při nedostupnosti: systém zachová naposledy stažený master kalendář bez přerušení provozu. Degradaci oznámí v admin dashboardu.</w:t>
            </w:r>
          </w:p>
        </w:tc>
      </w:tr>
    </w:tbl>
    <w:p>
      <w:pPr>
        <w:spacing w:before="200" w:after="60"/>
      </w:pPr>
      <w:r>
        <w:rPr>
          <w:rFonts w:ascii="Arial" w:cs="Arial" w:eastAsia="Arial" w:hAnsi="Arial"/>
          <w:b/>
          <w:bCs/>
          <w:color w:val="182952"/>
          <w:sz w:val="20"/>
          <w:szCs w:val="20"/>
        </w:rPr>
        <w:t xml:space="preserve">M4 — Notification Engine</w:t>
      </w:r>
    </w:p>
    <w:p>
      <w:pPr>
        <w:spacing w:before="4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Odesílá e-maily v konfigurovaných předstizích (30 a 7 dní před termínem). Loguje co, komu a kdy bylo odesláno. Idempotentní logika zabraňuje duplicitním odesláním.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82952"/>
          <w:sz w:val="20"/>
          <w:szCs w:val="20"/>
        </w:rPr>
        <w:t xml:space="preserve">M5 — Admin Dashboard</w:t>
      </w:r>
    </w:p>
    <w:p>
      <w:pPr>
        <w:spacing w:before="4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Rozhraní pro účetní firmu. Přehled klientů, jejich nadcházejících povinností a stavu notifikací. Možnost manuálního zásahu (odeslat znovu, deaktivovat klienta). Zobrazuje stav importu MFČR dat (datum posledního úspěšného stažení, varování při zastaralých datech). Umožňuje správu mapovacích pravidel (M2).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82952"/>
          <w:sz w:val="22"/>
          <w:szCs w:val="22"/>
        </w:rPr>
        <w:t xml:space="preserve">Stavový model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026"/>
      </w:tblGrid>
      <w:tr>
        <w:trPr>
          <w:tblHeader/>
        </w:trPr>
        <w:tc>
          <w:tcPr>
            <w:tcW w:type="dxa" w:w="24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18295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Entita</w:t>
            </w:r>
          </w:p>
        </w:tc>
        <w:tc>
          <w:tcPr>
            <w:tcW w:type="dxa" w:w="26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18295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Stavy</w:t>
            </w:r>
          </w:p>
        </w:tc>
        <w:tc>
          <w:tcPr>
            <w:tcW w:type="dxa" w:w="4026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18295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Zpětné přechody a chování</w:t>
            </w:r>
          </w:p>
        </w:tc>
      </w:tr>
      <w:tr>
        <w:tc>
          <w:tcPr>
            <w:tcW w:type="dxa" w:w="24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Klient</w:t>
            </w:r>
          </w:p>
        </w:tc>
        <w:tc>
          <w:tcPr>
            <w:tcW w:type="dxa" w:w="26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aktivní → pozastaven → ukončen</w:t>
            </w:r>
          </w:p>
        </w:tc>
        <w:tc>
          <w:tcPr>
            <w:tcW w:type="dxa" w:w="4026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ukončen → aktivní: automaticky při detekci obnovy v Heliosu batch sync. Notifikace propadlé v době ukončení se zruší jako nerelevantní. Nový cyklus začíná od aktuálního data.</w:t>
            </w:r>
          </w:p>
        </w:tc>
      </w:tr>
      <w:tr>
        <w:tc>
          <w:tcPr>
            <w:tcW w:type="dxa" w:w="24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Povinnost</w:t>
            </w:r>
          </w:p>
        </w:tc>
        <w:tc>
          <w:tcPr>
            <w:tcW w:type="dxa" w:w="26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nadcházející → notifikováno → po termínu</w:t>
            </w:r>
          </w:p>
        </w:tc>
        <w:tc>
          <w:tcPr>
            <w:tcW w:type="dxa" w:w="4026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Stav "po termínu" je pasivní — systém v MVP neprovádí žádnou akci ani neposílá upozornění. Eviduje pouze fakt, že termín proběhl. Žádný zpětný přechod.</w:t>
            </w:r>
          </w:p>
        </w:tc>
      </w:tr>
      <w:tr>
        <w:tc>
          <w:tcPr>
            <w:tcW w:type="dxa" w:w="24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Notifikace</w:t>
            </w:r>
          </w:p>
        </w:tc>
        <w:tc>
          <w:tcPr>
            <w:tcW w:type="dxa" w:w="26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naplánována → odesláno → chyba</w:t>
            </w:r>
          </w:p>
        </w:tc>
        <w:tc>
          <w:tcPr>
            <w:tcW w:type="dxa" w:w="4026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Stav "chyba" nevede k automatickému retry v MVP — chyba je logována a zobrazena v dashboardu pro manuální řešení.</w:t>
            </w:r>
          </w:p>
        </w:tc>
      </w:tr>
      <w:tr>
        <w:tc>
          <w:tcPr>
            <w:tcW w:type="dxa" w:w="24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Master kalendář MFČR</w:t>
            </w:r>
          </w:p>
        </w:tc>
        <w:tc>
          <w:tcPr>
            <w:tcW w:type="dxa" w:w="26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aktuální → zastaralý → chyba importu</w:t>
            </w:r>
          </w:p>
        </w:tc>
        <w:tc>
          <w:tcPr>
            <w:tcW w:type="dxa" w:w="4026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Systém uchovává poslední úspěšně stažená data. Při obnovení importu přejde zpět do stavu "aktuální".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82952"/>
          <w:sz w:val="22"/>
          <w:szCs w:val="22"/>
        </w:rPr>
        <w:t xml:space="preserve">Rozhodovací body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Které povinnosti se klienta týkají? → řídí M2 dle profilu a mapovacích pravidel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Kdy odeslat notifikaci? → konfigurovatelný předstih v M4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 se změnilo v Heliosu? → M1 triggeruje přepočet v M2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Změnily se termíny v MFČR Open Data? → M3 stáhne nový master kalendář, M2 přepočítá personalizované kalendáře klientů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82952"/>
          <w:sz w:val="22"/>
          <w:szCs w:val="22"/>
        </w:rPr>
        <w:t xml:space="preserve">Invariants — nepřekročitelná pravidla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Systém nikdy nezapisuje do Heliosu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Helios je vždy nadřazený zdroj dat o klientovi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Notifikace se neodesílá bez validního e-mailu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Mapovací pravidla (kdo má jaké povinnosti) spravuje výhradně účetní firma — systém je aplikuje, nikdy nemodifikuje autonomně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MFČR Open Data jsou zdrojem termínů, nikoli zdrojem mapovací logiky — tyto dvě vrstvy jsou striktně odděleny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Audit log notifikací je neměnný — záznamy nesmí být upraveny ani smazány, pouze čteny. Jakákoliv změna je technicky zablokována.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82952"/>
          <w:sz w:val="22"/>
          <w:szCs w:val="22"/>
        </w:rPr>
        <w:t xml:space="preserve">Co systém nikdy nebude dělat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Přijímat odpovědi od klientů nebo zpracovávat jejich reakce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Automaticky měnit data v Heliosu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Spravovat dokumenty nebo faktury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Fungovat jako klientský portál pro upload dat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Generovat daňová přiznání nebo jiné výstupy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Zpracovávat platby nebo bankovní data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Interpretovat nebo upravovat obsah MFČR dat — systém je stahuje a aplikuje, ale nevaliduje jejich právní správnost</w:t>
      </w:r>
    </w:p>
    <w:p>
      <w:r>
        <w:br w:type="page"/>
      </w:r>
    </w:p>
    <w:p>
      <w:pPr>
        <w:pStyle w:val="Heading1"/>
        <w:pBdr>
          <w:bottom w:val="single" w:color="F4B639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82952"/>
          <w:sz w:val="28"/>
          <w:szCs w:val="28"/>
        </w:rPr>
        <w:t xml:space="preserve">Kapitola 3 — Rozsah a priority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82952"/>
          <w:sz w:val="22"/>
          <w:szCs w:val="22"/>
        </w:rPr>
        <w:t xml:space="preserve">Co je v MVP (první verze, 3–4 měsíce)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18295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</w:t>
            </w:r>
          </w:p>
        </w:tc>
        <w:tc>
          <w:tcPr>
            <w:tcW w:type="dxa" w:w="6226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18295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 přesně</w:t>
            </w:r>
          </w:p>
        </w:tc>
      </w:tr>
      <w:tr>
        <w:tc>
          <w:tcPr>
            <w:tcW w:type="dxa" w:w="28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M1 — Helios Sync</w:t>
            </w:r>
          </w:p>
        </w:tc>
        <w:tc>
          <w:tcPr>
            <w:tcW w:type="dxa" w:w="6226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Synchronizace: typ subjektu, DPH status, e-mail. Denní batch, ne real-time.</w:t>
            </w:r>
          </w:p>
        </w:tc>
      </w:tr>
      <w:tr>
        <w:tc>
          <w:tcPr>
            <w:tcW w:type="dxa" w:w="28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M2 — Client Profiling</w:t>
            </w:r>
          </w:p>
        </w:tc>
        <w:tc>
          <w:tcPr>
            <w:tcW w:type="dxa" w:w="6226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Mapování profilu na sadu povinností — základní sada pravidel (OSVČ/s.r.o. × DPH × zaměstnanci). Mapovací pravidla spravuje firma v admin rozhraní.</w:t>
            </w:r>
          </w:p>
        </w:tc>
      </w:tr>
      <w:tr>
        <w:tc>
          <w:tcPr>
            <w:tcW w:type="dxa" w:w="28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M3 — Obligation Calendar</w:t>
            </w:r>
          </w:p>
        </w:tc>
        <w:tc>
          <w:tcPr>
            <w:tcW w:type="dxa" w:w="6226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Automatický import master kalendáře z MFČR Otevřených dat. Personalizace termínů na profil klienta dle mapovacích pravidel M2. Fallback: zachování posledního úspěšně staženého kalendáře.</w:t>
            </w:r>
          </w:p>
        </w:tc>
      </w:tr>
      <w:tr>
        <w:tc>
          <w:tcPr>
            <w:tcW w:type="dxa" w:w="28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M4 — Notification Engine</w:t>
            </w:r>
          </w:p>
        </w:tc>
        <w:tc>
          <w:tcPr>
            <w:tcW w:type="dxa" w:w="6226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E-mailové notifikace ve 2 předstizích (30 a 7 dní). Šablony v češtině, brandované firmou.</w:t>
            </w:r>
          </w:p>
        </w:tc>
      </w:tr>
      <w:tr>
        <w:tc>
          <w:tcPr>
            <w:tcW w:type="dxa" w:w="28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M5 — Admin Dashboard</w:t>
            </w:r>
          </w:p>
        </w:tc>
        <w:tc>
          <w:tcPr>
            <w:tcW w:type="dxa" w:w="6226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Přehled klientů + nadcházející povinnosti + log notifikací. Manuální override. Stav importu MFČR dat. Správa mapovacích pravidel.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82952"/>
          <w:sz w:val="22"/>
          <w:szCs w:val="22"/>
        </w:rPr>
        <w:t xml:space="preserve">Co není v MVP (mimo rozsah)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Real-time sync s Heliosem — stačí denní batch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Klientský portál nebo login pro OSVČ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Odpovědi klientů / potvrzení přečtení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SMS notifikace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Push notifikace (mobilní aplikace)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Cashflow plánování nebo predikce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Reporty a analytika pro klienty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Multi-tenant (systém slouží jen jedné účetní firmě)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82952"/>
          <w:sz w:val="22"/>
          <w:szCs w:val="22"/>
        </w:rPr>
        <w:t xml:space="preserve">Co je lákavé, ale nepatří do MVP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F4B639" w:sz="12"/>
              <w:bottom w:val="none" w:color="FFFFFF" w:sz="0"/>
              <w:right w:val="none" w:color="FFFFFF" w:sz="0"/>
            </w:tcBorders>
            <w:shd w:fill="F5F6F8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55577"/>
                <w:sz w:val="19"/>
                <w:szCs w:val="19"/>
              </w:rPr>
              <w:t xml:space="preserve">Cashflow dashboard pro klienta — logicky navazuje, ale vyžaduje klientský portál + napojení na banku. To je jiný produkt.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F4B639" w:sz="12"/>
              <w:bottom w:val="none" w:color="FFFFFF" w:sz="0"/>
              <w:right w:val="none" w:color="FFFFFF" w:sz="0"/>
            </w:tcBorders>
            <w:shd w:fill="F5F6F8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55577"/>
                <w:sz w:val="19"/>
                <w:szCs w:val="19"/>
              </w:rPr>
              <w:t xml:space="preserve">AI asistent na legislativní dotazy — atraktivní, ale odpovědnost za správnost je právní riziko.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F4B639" w:sz="12"/>
              <w:bottom w:val="none" w:color="FFFFFF" w:sz="0"/>
              <w:right w:val="none" w:color="FFFFFF" w:sz="0"/>
            </w:tcBorders>
            <w:shd w:fill="F5F6F8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55577"/>
                <w:sz w:val="19"/>
                <w:szCs w:val="19"/>
              </w:rPr>
              <w:t xml:space="preserve">Mobilní aplikace — e-mail pokryje potřebu levněji a rychleji.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F4B639" w:sz="12"/>
              <w:bottom w:val="none" w:color="FFFFFF" w:sz="0"/>
              <w:right w:val="none" w:color="FFFFFF" w:sz="0"/>
            </w:tcBorders>
            <w:shd w:fill="F5F6F8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55577"/>
                <w:sz w:val="19"/>
                <w:szCs w:val="19"/>
              </w:rPr>
              <w:t xml:space="preserve">Integrace na další účetní systémy — irelevantní pro MVP, otevírá ale SaaS cestu v budoucnu.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82952"/>
          <w:sz w:val="22"/>
          <w:szCs w:val="22"/>
        </w:rPr>
        <w:t xml:space="preserve">Zjednodušení povolená v MVP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18295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Oblast</w:t>
            </w:r>
          </w:p>
        </w:tc>
        <w:tc>
          <w:tcPr>
            <w:tcW w:type="dxa" w:w="5826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18295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Zjednodušení</w:t>
            </w:r>
          </w:p>
        </w:tc>
      </w:tr>
      <w:tr>
        <w:tc>
          <w:tcPr>
            <w:tcW w:type="dxa" w:w="32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Sync (Helios)</w:t>
            </w:r>
          </w:p>
        </w:tc>
        <w:tc>
          <w:tcPr>
            <w:tcW w:type="dxa" w:w="5826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Denní batch místo real-time webhooků</w:t>
            </w:r>
          </w:p>
        </w:tc>
      </w:tr>
      <w:tr>
        <w:tc>
          <w:tcPr>
            <w:tcW w:type="dxa" w:w="32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Legislativní kalendář</w:t>
            </w:r>
          </w:p>
        </w:tc>
        <w:tc>
          <w:tcPr>
            <w:tcW w:type="dxa" w:w="5826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Automatický import z MFČR Open Data — firma spravuje pouze mapovací pravidla, nikoli samotné termíny</w:t>
            </w:r>
          </w:p>
        </w:tc>
      </w:tr>
      <w:tr>
        <w:tc>
          <w:tcPr>
            <w:tcW w:type="dxa" w:w="32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Notifikace</w:t>
            </w:r>
          </w:p>
        </w:tc>
        <w:tc>
          <w:tcPr>
            <w:tcW w:type="dxa" w:w="5826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2 pevné předstihy místo konfigurovatelného systému</w:t>
            </w:r>
          </w:p>
        </w:tc>
      </w:tr>
      <w:tr>
        <w:tc>
          <w:tcPr>
            <w:tcW w:type="dxa" w:w="32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Profilování</w:t>
            </w:r>
          </w:p>
        </w:tc>
        <w:tc>
          <w:tcPr>
            <w:tcW w:type="dxa" w:w="5826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Binární pravidla (ano/ne), bez výjimek a edge cases</w:t>
            </w:r>
          </w:p>
        </w:tc>
      </w:tr>
      <w:tr>
        <w:tc>
          <w:tcPr>
            <w:tcW w:type="dxa" w:w="32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Chybové stavy</w:t>
            </w:r>
          </w:p>
        </w:tc>
        <w:tc>
          <w:tcPr>
            <w:tcW w:type="dxa" w:w="5826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Log chyb v dashboardu, manuální řešení — bez automatického retry</w:t>
            </w:r>
          </w:p>
        </w:tc>
      </w:tr>
      <w:tr>
        <w:tc>
          <w:tcPr>
            <w:tcW w:type="dxa" w:w="32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MFČR import při výpadku</w:t>
            </w:r>
          </w:p>
        </w:tc>
        <w:tc>
          <w:tcPr>
            <w:tcW w:type="dxa" w:w="5826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Systém zachová naposledy stažená data bez přerušení provozu; admin je informován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82952"/>
          <w:sz w:val="22"/>
          <w:szCs w:val="22"/>
        </w:rPr>
        <w:t xml:space="preserve">Verzovací logika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226"/>
      </w:tblGrid>
      <w:tr>
        <w:trPr>
          <w:tblHeader/>
        </w:trPr>
        <w:tc>
          <w:tcPr>
            <w:tcW w:type="dxa" w:w="18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18295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Verze</w:t>
            </w:r>
          </w:p>
        </w:tc>
        <w:tc>
          <w:tcPr>
            <w:tcW w:type="dxa" w:w="20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18295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Horizont</w:t>
            </w:r>
          </w:p>
        </w:tc>
        <w:tc>
          <w:tcPr>
            <w:tcW w:type="dxa" w:w="5226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18295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Obsah</w:t>
            </w:r>
          </w:p>
        </w:tc>
      </w:tr>
      <w:tr>
        <w:tc>
          <w:tcPr>
            <w:tcW w:type="dxa" w:w="18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MVP</w:t>
            </w:r>
          </w:p>
        </w:tc>
        <w:tc>
          <w:tcPr>
            <w:tcW w:type="dxa" w:w="20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0–4 měsíce</w:t>
            </w:r>
          </w:p>
        </w:tc>
        <w:tc>
          <w:tcPr>
            <w:tcW w:type="dxa" w:w="5226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Automatické e-mailové notifikace, Admin dashboard, Helios sync (batch), import MFČR Open Data</w:t>
            </w:r>
          </w:p>
        </w:tc>
      </w:tr>
      <w:tr>
        <w:tc>
          <w:tcPr>
            <w:tcW w:type="dxa" w:w="18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V2</w:t>
            </w:r>
          </w:p>
        </w:tc>
        <w:tc>
          <w:tcPr>
            <w:tcW w:type="dxa" w:w="20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4–9 měsíců</w:t>
            </w:r>
          </w:p>
        </w:tc>
        <w:tc>
          <w:tcPr>
            <w:tcW w:type="dxa" w:w="5226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Klientský přehled (read-only portál), konfigurovatelné předstihy, rozšířené profily</w:t>
            </w:r>
          </w:p>
        </w:tc>
      </w:tr>
      <w:tr>
        <w:tc>
          <w:tcPr>
            <w:tcW w:type="dxa" w:w="18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V3</w:t>
            </w:r>
          </w:p>
        </w:tc>
        <w:tc>
          <w:tcPr>
            <w:tcW w:type="dxa" w:w="20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9+ měsíců</w:t>
            </w:r>
          </w:p>
        </w:tc>
        <w:tc>
          <w:tcPr>
            <w:tcW w:type="dxa" w:w="5226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Cashflow modul, rozšíření na nové klienty, SaaS model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82952"/>
          <w:sz w:val="22"/>
          <w:szCs w:val="22"/>
        </w:rPr>
        <w:t xml:space="preserve">Prioritizační matice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1600"/>
        <w:gridCol w:w="2426"/>
      </w:tblGrid>
      <w:tr>
        <w:trPr>
          <w:tblHeader/>
        </w:trPr>
        <w:tc>
          <w:tcPr>
            <w:tcW w:type="dxa" w:w="34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18295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Funkce</w:t>
            </w:r>
          </w:p>
        </w:tc>
        <w:tc>
          <w:tcPr>
            <w:tcW w:type="dxa" w:w="16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18295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Dopad</w:t>
            </w:r>
          </w:p>
        </w:tc>
        <w:tc>
          <w:tcPr>
            <w:tcW w:type="dxa" w:w="16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18295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Náročnost</w:t>
            </w:r>
          </w:p>
        </w:tc>
        <w:tc>
          <w:tcPr>
            <w:tcW w:type="dxa" w:w="2426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18295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Priorita MVP</w:t>
            </w:r>
          </w:p>
        </w:tc>
      </w:tr>
      <w:tr>
        <w:tc>
          <w:tcPr>
            <w:tcW w:type="dxa" w:w="34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E-mailové notifikace</w:t>
            </w:r>
          </w:p>
        </w:tc>
        <w:tc>
          <w:tcPr>
            <w:tcW w:type="dxa" w:w="16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Kritický</w:t>
            </w:r>
          </w:p>
        </w:tc>
        <w:tc>
          <w:tcPr>
            <w:tcW w:type="dxa" w:w="16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Nízká</w:t>
            </w:r>
          </w:p>
        </w:tc>
        <w:tc>
          <w:tcPr>
            <w:tcW w:type="dxa" w:w="2426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✔ Ano</w:t>
            </w:r>
          </w:p>
        </w:tc>
      </w:tr>
      <w:tr>
        <w:tc>
          <w:tcPr>
            <w:tcW w:type="dxa" w:w="34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Helios sync (batch)</w:t>
            </w:r>
          </w:p>
        </w:tc>
        <w:tc>
          <w:tcPr>
            <w:tcW w:type="dxa" w:w="16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Kritický</w:t>
            </w:r>
          </w:p>
        </w:tc>
        <w:tc>
          <w:tcPr>
            <w:tcW w:type="dxa" w:w="16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Střední</w:t>
            </w:r>
          </w:p>
        </w:tc>
        <w:tc>
          <w:tcPr>
            <w:tcW w:type="dxa" w:w="2426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✔ Ano</w:t>
            </w:r>
          </w:p>
        </w:tc>
      </w:tr>
      <w:tr>
        <w:tc>
          <w:tcPr>
            <w:tcW w:type="dxa" w:w="34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Admin dashboard</w:t>
            </w:r>
          </w:p>
        </w:tc>
        <w:tc>
          <w:tcPr>
            <w:tcW w:type="dxa" w:w="16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Kritický</w:t>
            </w:r>
          </w:p>
        </w:tc>
        <w:tc>
          <w:tcPr>
            <w:tcW w:type="dxa" w:w="16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Střední</w:t>
            </w:r>
          </w:p>
        </w:tc>
        <w:tc>
          <w:tcPr>
            <w:tcW w:type="dxa" w:w="2426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✔ Ano</w:t>
            </w:r>
          </w:p>
        </w:tc>
      </w:tr>
      <w:tr>
        <w:tc>
          <w:tcPr>
            <w:tcW w:type="dxa" w:w="34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Profilování klientů</w:t>
            </w:r>
          </w:p>
        </w:tc>
        <w:tc>
          <w:tcPr>
            <w:tcW w:type="dxa" w:w="16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Kritický</w:t>
            </w:r>
          </w:p>
        </w:tc>
        <w:tc>
          <w:tcPr>
            <w:tcW w:type="dxa" w:w="16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Nízká</w:t>
            </w:r>
          </w:p>
        </w:tc>
        <w:tc>
          <w:tcPr>
            <w:tcW w:type="dxa" w:w="2426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✔ Ano</w:t>
            </w:r>
          </w:p>
        </w:tc>
      </w:tr>
      <w:tr>
        <w:tc>
          <w:tcPr>
            <w:tcW w:type="dxa" w:w="34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Import MFČR Open Data + mapovací pravidla</w:t>
            </w:r>
          </w:p>
        </w:tc>
        <w:tc>
          <w:tcPr>
            <w:tcW w:type="dxa" w:w="16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Kritický</w:t>
            </w:r>
          </w:p>
        </w:tc>
        <w:tc>
          <w:tcPr>
            <w:tcW w:type="dxa" w:w="16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Střední</w:t>
            </w:r>
          </w:p>
        </w:tc>
        <w:tc>
          <w:tcPr>
            <w:tcW w:type="dxa" w:w="2426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✔ Ano</w:t>
            </w:r>
          </w:p>
        </w:tc>
      </w:tr>
      <w:tr>
        <w:tc>
          <w:tcPr>
            <w:tcW w:type="dxa" w:w="34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Real-time sync</w:t>
            </w:r>
          </w:p>
        </w:tc>
        <w:tc>
          <w:tcPr>
            <w:tcW w:type="dxa" w:w="16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Střední</w:t>
            </w:r>
          </w:p>
        </w:tc>
        <w:tc>
          <w:tcPr>
            <w:tcW w:type="dxa" w:w="16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Vysoká</w:t>
            </w:r>
          </w:p>
        </w:tc>
        <w:tc>
          <w:tcPr>
            <w:tcW w:type="dxa" w:w="2426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✘ Ne</w:t>
            </w:r>
          </w:p>
        </w:tc>
      </w:tr>
      <w:tr>
        <w:tc>
          <w:tcPr>
            <w:tcW w:type="dxa" w:w="34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Klientský portál</w:t>
            </w:r>
          </w:p>
        </w:tc>
        <w:tc>
          <w:tcPr>
            <w:tcW w:type="dxa" w:w="16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Střední</w:t>
            </w:r>
          </w:p>
        </w:tc>
        <w:tc>
          <w:tcPr>
            <w:tcW w:type="dxa" w:w="16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Vysoká</w:t>
            </w:r>
          </w:p>
        </w:tc>
        <w:tc>
          <w:tcPr>
            <w:tcW w:type="dxa" w:w="2426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✘ Ne</w:t>
            </w:r>
          </w:p>
        </w:tc>
      </w:tr>
      <w:tr>
        <w:tc>
          <w:tcPr>
            <w:tcW w:type="dxa" w:w="34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SMS notifikace</w:t>
            </w:r>
          </w:p>
        </w:tc>
        <w:tc>
          <w:tcPr>
            <w:tcW w:type="dxa" w:w="16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Nízká</w:t>
            </w:r>
          </w:p>
        </w:tc>
        <w:tc>
          <w:tcPr>
            <w:tcW w:type="dxa" w:w="16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Střední</w:t>
            </w:r>
          </w:p>
        </w:tc>
        <w:tc>
          <w:tcPr>
            <w:tcW w:type="dxa" w:w="2426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✘ Ne</w:t>
            </w:r>
          </w:p>
        </w:tc>
      </w:tr>
      <w:tr>
        <w:tc>
          <w:tcPr>
            <w:tcW w:type="dxa" w:w="34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Cashflow modul</w:t>
            </w:r>
          </w:p>
        </w:tc>
        <w:tc>
          <w:tcPr>
            <w:tcW w:type="dxa" w:w="16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Střední</w:t>
            </w:r>
          </w:p>
        </w:tc>
        <w:tc>
          <w:tcPr>
            <w:tcW w:type="dxa" w:w="16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Vysoká</w:t>
            </w:r>
          </w:p>
        </w:tc>
        <w:tc>
          <w:tcPr>
            <w:tcW w:type="dxa" w:w="2426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✘ Ne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4B639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82952"/>
          <w:sz w:val="28"/>
          <w:szCs w:val="28"/>
        </w:rPr>
        <w:t xml:space="preserve">Kapitola 4 — Mapa systému a toků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82952"/>
          <w:sz w:val="22"/>
          <w:szCs w:val="22"/>
        </w:rPr>
        <w:t xml:space="preserve">Diagram 1 — Tok informací: přehled systému</w:t>
      </w:r>
    </w:p>
    <w:p>
      <w:pPr>
        <w:spacing w:before="4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Přehled datových toků mezi Heliosem, MFČR Open Data, pěti moduly systému, účetní firmou a klientem.</w:t>
      </w:r>
    </w:p>
    <w:p>
      <w:pPr>
        <w:spacing w:before="4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F4B639" w:sz="12"/>
              <w:bottom w:val="none" w:color="FFFFFF" w:sz="0"/>
              <w:right w:val="none" w:color="FFFFFF" w:sz="0"/>
            </w:tcBorders>
            <w:shd w:fill="F5F6F8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55577"/>
                <w:sz w:val="19"/>
                <w:szCs w:val="19"/>
              </w:rPr>
              <w:t xml:space="preserve">Obr. 1 — aktualizovat diagram: přidat datový tok MFČR Open Data → M3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82952"/>
          <w:sz w:val="22"/>
          <w:szCs w:val="22"/>
        </w:rPr>
        <w:t xml:space="preserve">Diagram 2 — Rozhodovací tok: profilování klienta</w:t>
      </w:r>
    </w:p>
    <w:p>
      <w:pPr>
        <w:spacing w:before="4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Rozhodovací strom pro mapování klienta na sadu povinností podle jeho profilu (typ subjektu, DPH, zaměstnanci).</w:t>
      </w:r>
    </w:p>
    <w:p>
      <w:pPr>
        <w:spacing w:before="4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F4B639" w:sz="12"/>
              <w:bottom w:val="none" w:color="FFFFFF" w:sz="0"/>
              <w:right w:val="none" w:color="FFFFFF" w:sz="0"/>
            </w:tcBorders>
            <w:shd w:fill="F5F6F8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55577"/>
                <w:sz w:val="19"/>
                <w:szCs w:val="19"/>
              </w:rPr>
              <w:t xml:space="preserve">Obr. 2 — beze změny oproti v1.0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82952"/>
          <w:sz w:val="22"/>
          <w:szCs w:val="22"/>
        </w:rPr>
        <w:t xml:space="preserve">Diagram 3 — Sekvenční tok: životní cyklus notifikace</w:t>
      </w:r>
    </w:p>
    <w:p>
      <w:pPr>
        <w:spacing w:before="4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Sekvenční tok od synchronizace Heliosu a importu MFČR dat přes profilování až po odeslání notifikace klientovi a logování v admin dashboardu.</w:t>
      </w:r>
    </w:p>
    <w:p>
      <w:pPr>
        <w:spacing w:before="4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F4B639" w:sz="12"/>
              <w:bottom w:val="none" w:color="FFFFFF" w:sz="0"/>
              <w:right w:val="none" w:color="FFFFFF" w:sz="0"/>
            </w:tcBorders>
            <w:shd w:fill="F5F6F8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55577"/>
                <w:sz w:val="19"/>
                <w:szCs w:val="19"/>
              </w:rPr>
              <w:t xml:space="preserve">Obr. 3 — aktualizovat diagram: přidat krok importu MFČR před krokem M3 Calendar Engine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82952"/>
          <w:sz w:val="22"/>
          <w:szCs w:val="22"/>
        </w:rPr>
        <w:t xml:space="preserve">Bottlenecky a neviditelné závislosti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26"/>
      </w:tblGrid>
      <w:tr>
        <w:trPr>
          <w:tblHeader/>
        </w:trPr>
        <w:tc>
          <w:tcPr>
            <w:tcW w:type="dxa" w:w="30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18295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Riziko</w:t>
            </w:r>
          </w:p>
        </w:tc>
        <w:tc>
          <w:tcPr>
            <w:tcW w:type="dxa" w:w="20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18295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Kde</w:t>
            </w:r>
          </w:p>
        </w:tc>
        <w:tc>
          <w:tcPr>
            <w:tcW w:type="dxa" w:w="4026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18295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Dopad</w:t>
            </w:r>
          </w:p>
        </w:tc>
      </w:tr>
      <w:tr>
        <w:tc>
          <w:tcPr>
            <w:tcW w:type="dxa" w:w="30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Helios API nedostupné</w:t>
            </w:r>
          </w:p>
        </w:tc>
        <w:tc>
          <w:tcPr>
            <w:tcW w:type="dxa" w:w="20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M1 Sync</w:t>
            </w:r>
          </w:p>
        </w:tc>
        <w:tc>
          <w:tcPr>
            <w:tcW w:type="dxa" w:w="4026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Zastaralé profily → chybné notifikace</w:t>
            </w:r>
          </w:p>
        </w:tc>
      </w:tr>
      <w:tr>
        <w:tc>
          <w:tcPr>
            <w:tcW w:type="dxa" w:w="30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MFČR Open Data nedostupná nebo zastaralá</w:t>
            </w:r>
          </w:p>
        </w:tc>
        <w:tc>
          <w:tcPr>
            <w:tcW w:type="dxa" w:w="20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M3 Engine</w:t>
            </w:r>
          </w:p>
        </w:tc>
        <w:tc>
          <w:tcPr>
            <w:tcW w:type="dxa" w:w="4026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Systém pracuje s naposledy staženými daty — bez přerušení, ale s rizikem zastaralosti termínů. Admin je upozorněn.</w:t>
            </w:r>
          </w:p>
        </w:tc>
      </w:tr>
      <w:tr>
        <w:tc>
          <w:tcPr>
            <w:tcW w:type="dxa" w:w="30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Změna formátu MFČR datové sady</w:t>
            </w:r>
          </w:p>
        </w:tc>
        <w:tc>
          <w:tcPr>
            <w:tcW w:type="dxa" w:w="20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M3 Engine</w:t>
            </w:r>
          </w:p>
        </w:tc>
        <w:tc>
          <w:tcPr>
            <w:tcW w:type="dxa" w:w="4026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Import selže. Systém zachová poslední data. Vyžaduje manuální zásah vývojáře.</w:t>
            </w:r>
          </w:p>
        </w:tc>
      </w:tr>
      <w:tr>
        <w:tc>
          <w:tcPr>
            <w:tcW w:type="dxa" w:w="30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Klient změní profil těsně před termínem</w:t>
            </w:r>
          </w:p>
        </w:tc>
        <w:tc>
          <w:tcPr>
            <w:tcW w:type="dxa" w:w="20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M1 → M2</w:t>
            </w:r>
          </w:p>
        </w:tc>
        <w:tc>
          <w:tcPr>
            <w:tcW w:type="dxa" w:w="4026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Batch sync nestihne zachytit změnu včas</w:t>
            </w:r>
          </w:p>
        </w:tc>
      </w:tr>
      <w:tr>
        <w:tc>
          <w:tcPr>
            <w:tcW w:type="dxa" w:w="30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Nevalidní e-mail v Heliosu</w:t>
            </w:r>
          </w:p>
        </w:tc>
        <w:tc>
          <w:tcPr>
            <w:tcW w:type="dxa" w:w="20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M4</w:t>
            </w:r>
          </w:p>
        </w:tc>
        <w:tc>
          <w:tcPr>
            <w:tcW w:type="dxa" w:w="4026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Tichá chyba — klient nedostane notifikaci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4B639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82952"/>
          <w:sz w:val="28"/>
          <w:szCs w:val="28"/>
        </w:rPr>
        <w:t xml:space="preserve">Kapitola 5 — Rámcový rozsah MVP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82952"/>
          <w:sz w:val="22"/>
          <w:szCs w:val="22"/>
        </w:rPr>
        <w:t xml:space="preserve">Pilotní skupina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18295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Parametr</w:t>
            </w:r>
          </w:p>
        </w:tc>
        <w:tc>
          <w:tcPr>
            <w:tcW w:type="dxa" w:w="6226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18295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Hodnota</w:t>
            </w:r>
          </w:p>
        </w:tc>
      </w:tr>
      <w:tr>
        <w:tc>
          <w:tcPr>
            <w:tcW w:type="dxa" w:w="28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Kdo</w:t>
            </w:r>
          </w:p>
        </w:tc>
        <w:tc>
          <w:tcPr>
            <w:tcW w:type="dxa" w:w="6226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Stávající klienti účetní firmy</w:t>
            </w:r>
          </w:p>
        </w:tc>
      </w:tr>
      <w:tr>
        <w:tc>
          <w:tcPr>
            <w:tcW w:type="dxa" w:w="28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Velikost</w:t>
            </w:r>
          </w:p>
        </w:tc>
        <w:tc>
          <w:tcPr>
            <w:tcW w:type="dxa" w:w="6226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Všichni aktivní klienti (desítky až nízké stovky)</w:t>
            </w:r>
          </w:p>
        </w:tc>
      </w:tr>
      <w:tr>
        <w:tc>
          <w:tcPr>
            <w:tcW w:type="dxa" w:w="28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Segmenty</w:t>
            </w:r>
          </w:p>
        </w:tc>
        <w:tc>
          <w:tcPr>
            <w:tcW w:type="dxa" w:w="6226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OSVČ bez DPH, OSVČ s DPH, s.r.o. — všechny od spuštění</w:t>
            </w:r>
          </w:p>
        </w:tc>
      </w:tr>
      <w:tr>
        <w:tc>
          <w:tcPr>
            <w:tcW w:type="dxa" w:w="28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Výjimky</w:t>
            </w:r>
          </w:p>
        </w:tc>
        <w:tc>
          <w:tcPr>
            <w:tcW w:type="dxa" w:w="6226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Klienti bez validního e-mailu v Heliosu → manuální řešení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F4B639" w:sz="12"/>
              <w:bottom w:val="none" w:color="FFFFFF" w:sz="0"/>
              <w:right w:val="none" w:color="FFFFFF" w:sz="0"/>
            </w:tcBorders>
            <w:shd w:fill="F5F6F8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55577"/>
                <w:sz w:val="19"/>
                <w:szCs w:val="19"/>
              </w:rPr>
              <w:t xml:space="preserve">Doporučení: Prvních 30 dní po spuštění provozovat v shadow mode — notifikace se logují, ale neodesílají. Účetní firma zkontroluje správnost před ostrým provozem.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82952"/>
          <w:sz w:val="22"/>
          <w:szCs w:val="22"/>
        </w:rPr>
        <w:t xml:space="preserve">Rozsah dat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226"/>
      </w:tblGrid>
      <w:tr>
        <w:trPr>
          <w:tblHeader/>
        </w:trPr>
        <w:tc>
          <w:tcPr>
            <w:tcW w:type="dxa" w:w="28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18295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Datová sada</w:t>
            </w:r>
          </w:p>
        </w:tc>
        <w:tc>
          <w:tcPr>
            <w:tcW w:type="dxa" w:w="30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18295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Zdroj</w:t>
            </w:r>
          </w:p>
        </w:tc>
        <w:tc>
          <w:tcPr>
            <w:tcW w:type="dxa" w:w="3226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18295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Poznámka</w:t>
            </w:r>
          </w:p>
        </w:tc>
      </w:tr>
      <w:tr>
        <w:tc>
          <w:tcPr>
            <w:tcW w:type="dxa" w:w="28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Profily klientů</w:t>
            </w:r>
          </w:p>
        </w:tc>
        <w:tc>
          <w:tcPr>
            <w:tcW w:type="dxa" w:w="30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Helios</w:t>
            </w:r>
          </w:p>
        </w:tc>
        <w:tc>
          <w:tcPr>
            <w:tcW w:type="dxa" w:w="3226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Sync od D1</w:t>
            </w:r>
          </w:p>
        </w:tc>
      </w:tr>
      <w:tr>
        <w:tc>
          <w:tcPr>
            <w:tcW w:type="dxa" w:w="28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Centrální daňový kalendář (master)</w:t>
            </w:r>
          </w:p>
        </w:tc>
        <w:tc>
          <w:tcPr>
            <w:tcW w:type="dxa" w:w="30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MFČR Otevřená data — automatický import</w:t>
            </w:r>
          </w:p>
        </w:tc>
        <w:tc>
          <w:tcPr>
            <w:tcW w:type="dxa" w:w="3226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Verifikovat formát a dostupnost před spuštěním. Počáteční import před D1.</w:t>
            </w:r>
          </w:p>
        </w:tc>
      </w:tr>
      <w:tr>
        <w:tc>
          <w:tcPr>
            <w:tcW w:type="dxa" w:w="28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Mapovací pravidla (profil → povinnosti)</w:t>
            </w:r>
          </w:p>
        </w:tc>
        <w:tc>
          <w:tcPr>
            <w:tcW w:type="dxa" w:w="30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Interní konfigurace, zadává firma</w:t>
            </w:r>
          </w:p>
        </w:tc>
        <w:tc>
          <w:tcPr>
            <w:tcW w:type="dxa" w:w="3226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Definovat a otestovat před spuštěním</w:t>
            </w:r>
          </w:p>
        </w:tc>
      </w:tr>
      <w:tr>
        <w:tc>
          <w:tcPr>
            <w:tcW w:type="dxa" w:w="28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Historie notifikací</w:t>
            </w:r>
          </w:p>
        </w:tc>
        <w:tc>
          <w:tcPr>
            <w:tcW w:type="dxa" w:w="30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Nový systém</w:t>
            </w:r>
          </w:p>
        </w:tc>
        <w:tc>
          <w:tcPr>
            <w:tcW w:type="dxa" w:w="3226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Od spuštění</w:t>
            </w:r>
          </w:p>
        </w:tc>
      </w:tr>
      <w:tr>
        <w:tc>
          <w:tcPr>
            <w:tcW w:type="dxa" w:w="28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Historická data</w:t>
            </w:r>
          </w:p>
        </w:tc>
        <w:tc>
          <w:tcPr>
            <w:tcW w:type="dxa" w:w="30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Nejsou potřeba</w:t>
            </w:r>
          </w:p>
        </w:tc>
        <w:tc>
          <w:tcPr>
            <w:tcW w:type="dxa" w:w="3226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MVP začíná od nuly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82952"/>
          <w:sz w:val="22"/>
          <w:szCs w:val="22"/>
        </w:rPr>
        <w:t xml:space="preserve">Časový rámec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426"/>
      </w:tblGrid>
      <w:tr>
        <w:trPr>
          <w:tblHeader/>
        </w:trPr>
        <w:tc>
          <w:tcPr>
            <w:tcW w:type="dxa" w:w="22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18295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Fáze</w:t>
            </w:r>
          </w:p>
        </w:tc>
        <w:tc>
          <w:tcPr>
            <w:tcW w:type="dxa" w:w="14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18295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Týdny</w:t>
            </w:r>
          </w:p>
        </w:tc>
        <w:tc>
          <w:tcPr>
            <w:tcW w:type="dxa" w:w="5426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18295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Obsah</w:t>
            </w:r>
          </w:p>
        </w:tc>
      </w:tr>
      <w:tr>
        <w:tc>
          <w:tcPr>
            <w:tcW w:type="dxa" w:w="22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Setup</w:t>
            </w:r>
          </w:p>
        </w:tc>
        <w:tc>
          <w:tcPr>
            <w:tcW w:type="dxa" w:w="14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1–2</w:t>
            </w:r>
          </w:p>
        </w:tc>
        <w:tc>
          <w:tcPr>
            <w:tcW w:type="dxa" w:w="5426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Technická verifikace Helios API + verifikace MFČR Open Data formátu + setup prostředí</w:t>
            </w:r>
          </w:p>
        </w:tc>
      </w:tr>
      <w:tr>
        <w:tc>
          <w:tcPr>
            <w:tcW w:type="dxa" w:w="22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Vývoj M1 + M2</w:t>
            </w:r>
          </w:p>
        </w:tc>
        <w:tc>
          <w:tcPr>
            <w:tcW w:type="dxa" w:w="14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3–6</w:t>
            </w:r>
          </w:p>
        </w:tc>
        <w:tc>
          <w:tcPr>
            <w:tcW w:type="dxa" w:w="5426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Sync a profilování klientů</w:t>
            </w:r>
          </w:p>
        </w:tc>
      </w:tr>
      <w:tr>
        <w:tc>
          <w:tcPr>
            <w:tcW w:type="dxa" w:w="22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Vývoj M3 + M4</w:t>
            </w:r>
          </w:p>
        </w:tc>
        <w:tc>
          <w:tcPr>
            <w:tcW w:type="dxa" w:w="14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5–8</w:t>
            </w:r>
          </w:p>
        </w:tc>
        <w:tc>
          <w:tcPr>
            <w:tcW w:type="dxa" w:w="5426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Import MFČR Open Data, mapovací engine, kalendář a notifikační engine</w:t>
            </w:r>
          </w:p>
        </w:tc>
      </w:tr>
      <w:tr>
        <w:tc>
          <w:tcPr>
            <w:tcW w:type="dxa" w:w="22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Vývoj M5</w:t>
            </w:r>
          </w:p>
        </w:tc>
        <w:tc>
          <w:tcPr>
            <w:tcW w:type="dxa" w:w="14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7–10</w:t>
            </w:r>
          </w:p>
        </w:tc>
        <w:tc>
          <w:tcPr>
            <w:tcW w:type="dxa" w:w="5426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Admin Dashboard</w:t>
            </w:r>
          </w:p>
        </w:tc>
      </w:tr>
      <w:tr>
        <w:tc>
          <w:tcPr>
            <w:tcW w:type="dxa" w:w="22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Shadow mode</w:t>
            </w:r>
          </w:p>
        </w:tc>
        <w:tc>
          <w:tcPr>
            <w:tcW w:type="dxa" w:w="14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10–12</w:t>
            </w:r>
          </w:p>
        </w:tc>
        <w:tc>
          <w:tcPr>
            <w:tcW w:type="dxa" w:w="5426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Interní testování firmou bez odesílání</w:t>
            </w:r>
          </w:p>
        </w:tc>
      </w:tr>
      <w:tr>
        <w:tc>
          <w:tcPr>
            <w:tcW w:type="dxa" w:w="22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Opravy + spuštění</w:t>
            </w:r>
          </w:p>
        </w:tc>
        <w:tc>
          <w:tcPr>
            <w:tcW w:type="dxa" w:w="14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13–14</w:t>
            </w:r>
          </w:p>
        </w:tc>
        <w:tc>
          <w:tcPr>
            <w:tcW w:type="dxa" w:w="5426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Finální opravy a ostrý provoz</w:t>
            </w:r>
          </w:p>
        </w:tc>
      </w:tr>
      <w:tr>
        <w:tc>
          <w:tcPr>
            <w:tcW w:type="dxa" w:w="22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Stabilizace</w:t>
            </w:r>
          </w:p>
        </w:tc>
        <w:tc>
          <w:tcPr>
            <w:tcW w:type="dxa" w:w="14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14–16</w:t>
            </w:r>
          </w:p>
        </w:tc>
        <w:tc>
          <w:tcPr>
            <w:tcW w:type="dxa" w:w="5426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Stabilizace a první zpětná vazba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82952"/>
          <w:sz w:val="22"/>
          <w:szCs w:val="22"/>
        </w:rPr>
        <w:t xml:space="preserve">KPI úspěchu MVP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426"/>
      </w:tblGrid>
      <w:tr>
        <w:trPr>
          <w:tblHeader/>
        </w:trPr>
        <w:tc>
          <w:tcPr>
            <w:tcW w:type="dxa" w:w="32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18295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KPI</w:t>
            </w:r>
          </w:p>
        </w:tc>
        <w:tc>
          <w:tcPr>
            <w:tcW w:type="dxa" w:w="24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18295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Baseline (dnes)</w:t>
            </w:r>
          </w:p>
        </w:tc>
        <w:tc>
          <w:tcPr>
            <w:tcW w:type="dxa" w:w="3426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18295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Cíl po 3 měsících provozu</w:t>
            </w:r>
          </w:p>
        </w:tc>
      </w:tr>
      <w:tr>
        <w:tc>
          <w:tcPr>
            <w:tcW w:type="dxa" w:w="32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Počet manuálních urgencí</w:t>
            </w:r>
          </w:p>
        </w:tc>
        <w:tc>
          <w:tcPr>
            <w:tcW w:type="dxa" w:w="24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Změřit před spuštěním</w:t>
            </w:r>
          </w:p>
        </w:tc>
        <w:tc>
          <w:tcPr>
            <w:tcW w:type="dxa" w:w="3426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Pokles o 70 %+</w:t>
            </w:r>
          </w:p>
        </w:tc>
      </w:tr>
      <w:tr>
        <w:tc>
          <w:tcPr>
            <w:tcW w:type="dxa" w:w="32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Čas účetních na urgence</w:t>
            </w:r>
          </w:p>
        </w:tc>
        <w:tc>
          <w:tcPr>
            <w:tcW w:type="dxa" w:w="24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Změřit před spuštěním</w:t>
            </w:r>
          </w:p>
        </w:tc>
        <w:tc>
          <w:tcPr>
            <w:tcW w:type="dxa" w:w="3426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Pokles o 70 %+</w:t>
            </w:r>
          </w:p>
        </w:tc>
      </w:tr>
      <w:tr>
        <w:tc>
          <w:tcPr>
            <w:tcW w:type="dxa" w:w="32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Klienti s validním e-mailem</w:t>
            </w:r>
          </w:p>
        </w:tc>
        <w:tc>
          <w:tcPr>
            <w:tcW w:type="dxa" w:w="24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Neznámé</w:t>
            </w:r>
          </w:p>
        </w:tc>
        <w:tc>
          <w:tcPr>
            <w:tcW w:type="dxa" w:w="3426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95 %+ aktivních klientů</w:t>
            </w:r>
          </w:p>
        </w:tc>
      </w:tr>
      <w:tr>
        <w:tc>
          <w:tcPr>
            <w:tcW w:type="dxa" w:w="32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Úspěšnost doručení notifikací</w:t>
            </w:r>
          </w:p>
        </w:tc>
        <w:tc>
          <w:tcPr>
            <w:tcW w:type="dxa" w:w="24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N/A</w:t>
            </w:r>
          </w:p>
        </w:tc>
        <w:tc>
          <w:tcPr>
            <w:tcW w:type="dxa" w:w="3426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98 %+ doručených e-mailů</w:t>
            </w:r>
          </w:p>
        </w:tc>
      </w:tr>
      <w:tr>
        <w:tc>
          <w:tcPr>
            <w:tcW w:type="dxa" w:w="32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Klientské incidenty (pokuty)</w:t>
            </w:r>
          </w:p>
        </w:tc>
        <w:tc>
          <w:tcPr>
            <w:tcW w:type="dxa" w:w="24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Baseline před spuštěním</w:t>
            </w:r>
          </w:p>
        </w:tc>
        <w:tc>
          <w:tcPr>
            <w:tcW w:type="dxa" w:w="3426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Nulový výskyt u notifikovaných</w:t>
            </w:r>
          </w:p>
        </w:tc>
      </w:tr>
      <w:tr>
        <w:tc>
          <w:tcPr>
            <w:tcW w:type="dxa" w:w="32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Aktuálnost master kalendáře</w:t>
            </w:r>
          </w:p>
        </w:tc>
        <w:tc>
          <w:tcPr>
            <w:tcW w:type="dxa" w:w="24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N/A</w:t>
            </w:r>
          </w:p>
        </w:tc>
        <w:tc>
          <w:tcPr>
            <w:tcW w:type="dxa" w:w="3426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Max. 7 dní od publikace MFČR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F4B639" w:sz="12"/>
              <w:bottom w:val="none" w:color="FFFFFF" w:sz="0"/>
              <w:right w:val="none" w:color="FFFFFF" w:sz="0"/>
            </w:tcBorders>
            <w:shd w:fill="F5F6F8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55577"/>
                <w:sz w:val="19"/>
                <w:szCs w:val="19"/>
              </w:rPr>
              <w:t xml:space="preserve">Důležité: Před spuštěním změřit baseline — kolik urgencí měsíčně a hodin strávených manuální komunikací. Bez toho nelze prokázat ROI ani úsporu FTE.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4B639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82952"/>
          <w:sz w:val="28"/>
          <w:szCs w:val="28"/>
        </w:rPr>
        <w:t xml:space="preserve">Kapitola 6 — Rizika a omezení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82952"/>
          <w:sz w:val="22"/>
          <w:szCs w:val="22"/>
        </w:rPr>
        <w:t xml:space="preserve">Technické závislosti a rizika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82952" w:sz="4"/>
              <w:left w:val="single" w:color="F4B639" w:sz="12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D4037"/>
                <w:sz w:val="19"/>
                <w:szCs w:val="19"/>
              </w:rPr>
              <w:t xml:space="preserve">⚠ Helios API dostupnost: MVP stojí na předpokladu, že stávající licence zahrnuje REST API přístup. Pokud ne, fallback je plánovaný CSV export — funkční, ale manuální závislost na člověku.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82952" w:sz="4"/>
              <w:left w:val="single" w:color="F4B639" w:sz="12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D4037"/>
                <w:sz w:val="19"/>
                <w:szCs w:val="19"/>
              </w:rPr>
              <w:t xml:space="preserve">⚠ Kvalita dat v Heliosu: Systém je tak dobrý, jako data v Heliosu. Chybějící e-maily, neaktuální profily nebo duplicitní záznamy způsobí tiché chyby bez možnosti automatické korekce.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82952" w:sz="4"/>
              <w:left w:val="single" w:color="F4B639" w:sz="12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D4037"/>
                <w:sz w:val="19"/>
                <w:szCs w:val="19"/>
              </w:rPr>
              <w:t xml:space="preserve">⚠ Denní batch vs. realita: Změna profilu klienta v Heliosu se projeví až další den. Pokud k změně dojde těsně před termínem, systém nemusí stihnout reagovat.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82952" w:sz="4"/>
              <w:left w:val="single" w:color="F4B639" w:sz="12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D4037"/>
                <w:sz w:val="19"/>
                <w:szCs w:val="19"/>
              </w:rPr>
              <w:t xml:space="preserve">⚠ Doručitelnost e-mailů: Bez správného nastavení SPF/DKIM/DMARC záznamu mohou notifikace skončit ve spamu. Kritické pro důvěryhodnost produktu.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82952" w:sz="4"/>
              <w:left w:val="single" w:color="F4B639" w:sz="12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D4037"/>
                <w:sz w:val="19"/>
                <w:szCs w:val="19"/>
              </w:rPr>
              <w:t xml:space="preserve">⚠ Dostupnost a stabilita MFČR Open Data: Systém závisí na pravidelné dostupnosti datové sady Daňový kalendář z portálu MFČR. Při výpadku nebo zpoždění publikace systém pracuje s naposledy staženými daty bez přerušení provozu — admin dashboard zobrazí varování. Reputační riziko nastává pouze při dlouhodobém zastaření dat.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82952" w:sz="4"/>
              <w:left w:val="single" w:color="F4B639" w:sz="12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D4037"/>
                <w:sz w:val="19"/>
                <w:szCs w:val="19"/>
              </w:rPr>
              <w:t xml:space="preserve">⚠ Změna formátu MFČR datové sady: MFČR může změnit strukturu nebo formát publikovaných dat bez upozornění. Při změně import selže a systém zachová poslední platná data. Oprava vyžaduje zásah vývojáře. Doporučeno: monitoring formátu jako součást provozního SLA s dodavatelem.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82952" w:sz="4"/>
              <w:left w:val="single" w:color="F4B639" w:sz="12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D4037"/>
                <w:sz w:val="19"/>
                <w:szCs w:val="19"/>
              </w:rPr>
              <w:t xml:space="preserve">⚠ Správnost mapovacích pravidel: Automatický import termínů z MFČR eliminuje riziko zastaralého kalendáře, ale nezaručuje správnost mapování povinností na profily klientů. Toto mapování spravuje firma v admin rozhraní — chybná konfigurace povede k chybným nebo chybějícím notifikacím. Mapovací pravidla musí být před spuštěním ověřena účetními odborníky firmy.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82952"/>
          <w:sz w:val="22"/>
          <w:szCs w:val="22"/>
        </w:rPr>
        <w:t xml:space="preserve">Behaviorální rizika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Klienti přestanou číst e-maily — pokud notifikace přijdou příliš často nebo jsou generické. Obsah a frekvence jsou kritické.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Falešný pocit bezpečí u účetních — systém nedetekuje, zda klient povinnost splnil. Stav "po termínu" je v MVP pasivní — systém pouze eviduje, že termín proběhl, žádná akce nenastane. Účetní nesmí přestat sledovat rizikové klienty.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Odpor klientů k automatizaci — část klientů může vnímat automatické e-maily jako neosobní, zejména pokud jsou zvyklí na přímý kontakt.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82952"/>
          <w:sz w:val="22"/>
          <w:szCs w:val="22"/>
        </w:rPr>
        <w:t xml:space="preserve">Degraded mode — chování při výpadku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18295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Scénář</w:t>
            </w:r>
          </w:p>
        </w:tc>
        <w:tc>
          <w:tcPr>
            <w:tcW w:type="dxa" w:w="5826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18295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Chování systému</w:t>
            </w:r>
          </w:p>
        </w:tc>
      </w:tr>
      <w:tr>
        <w:tc>
          <w:tcPr>
            <w:tcW w:type="dxa" w:w="32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Výpadek Helios API</w:t>
            </w:r>
          </w:p>
        </w:tc>
        <w:tc>
          <w:tcPr>
            <w:tcW w:type="dxa" w:w="5826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Sync se zastaví. Dříve naplánované notifikace se odešlou dle plánu. Nedochází ke ztrátě dat. Dashboard zobrazí varování o zastaralých datech.</w:t>
            </w:r>
          </w:p>
        </w:tc>
      </w:tr>
      <w:tr>
        <w:tc>
          <w:tcPr>
            <w:tcW w:type="dxa" w:w="32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Výpadek MFČR Open Data</w:t>
            </w:r>
          </w:p>
        </w:tc>
        <w:tc>
          <w:tcPr>
            <w:tcW w:type="dxa" w:w="5826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Import se zastaví. Systém pracuje s naposledy staženým master kalendářem. Notifikace pokračují bez přerušení. Dashboard zobrazí datum posledního úspěšného importu a varování.</w:t>
            </w:r>
          </w:p>
        </w:tc>
      </w:tr>
      <w:tr>
        <w:tc>
          <w:tcPr>
            <w:tcW w:type="dxa" w:w="32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Výpadek SMTP / e-mailové infrastruktury</w:t>
            </w:r>
          </w:p>
        </w:tc>
        <w:tc>
          <w:tcPr>
            <w:tcW w:type="dxa" w:w="5826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Notifikace se uloží do fronty. Po obnovení spojení se odešlou v pořadí vzniku. Nedochází ke ztrátě dat.</w:t>
            </w:r>
          </w:p>
        </w:tc>
      </w:tr>
      <w:tr>
        <w:tc>
          <w:tcPr>
            <w:tcW w:type="dxa" w:w="32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Částečný výpadek (jeden modul)</w:t>
            </w:r>
          </w:p>
        </w:tc>
        <w:tc>
          <w:tcPr>
            <w:tcW w:type="dxa" w:w="5826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Ostatní moduly fungují nezávisle. Selhávající modul loguje chybu do dashboardu bez kaskádového šíření.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82952"/>
          <w:sz w:val="22"/>
          <w:szCs w:val="22"/>
        </w:rPr>
        <w:t xml:space="preserve">Concurrency momenty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Souběžná změna profilu a plánování notifikace — pokud batch sync a engine notifikací běží současně, může notifikace odejít se starým profilem.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Duplicitní notifikace — při chybě nebo restartu systému může stejná notifikace odejít dvakrát. Notifikační engine musí mít idempotentní logiku.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Souběžný import MFČR dat a generování notifikací — pokud import master kalendáře proběhne ve stejný okamžik jako plánování notifikací, musí systém zajistit konzistenci: notifikace v dané dávce vycházejí výhradně z jedné verze master kalendáře.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82952"/>
          <w:sz w:val="22"/>
          <w:szCs w:val="22"/>
        </w:rPr>
        <w:t xml:space="preserve">Existenční závislosti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Závislost na externím vývojářském týmu — firma nemá interní vývojáře. Veškerá údržba závisí na dodavateli. Nutné smluvně ošetřit SLA a předání zdrojového kódu. SLA musí explicitně pokrývat i reakci na změny formátu MFČR Open Data.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Závislost na e-mailové infrastruktuře — výpadek SMTP serveru nebo SendGrid znamená úplné zastavení notifikací bez alertu pro firmu.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Závislost na MFČR Open Data — systém předpokládá kontinuální dostupnost a stabilitu datové sady. Změna politiky publikace nebo zrušení datové sady by vyžadovalo redesign M3.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Legislativní změny mimo plán — mimořádné změny vyžadují rychlou aktualizaci mapovacích pravidel. Zodpovědná osoba v účetní firmě ověří dopad a provede korekci v admin rozhraní. Časová norma reakce: do 48 hodin od vyhlášení změny.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Helios jako strukturální omezení budoucí akvizice — architektura MVP je plně závislá na Heliosu jako jediném zdroji klientských dat. Pokud by v budoucí fázi (V3+) vznikl zájem o oslovení nových klientů mimo stávající portfolio, bude nutné navrhnout alternativní datový vstup. Toto je vědomé a odsouhlasené omezení MVP.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82952"/>
          <w:sz w:val="22"/>
          <w:szCs w:val="22"/>
        </w:rPr>
        <w:t xml:space="preserve">Integrita dat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Smazaný klient v Heliosu — systém musí správně zastavit jeho notifikace. Bez správné sync logiky může ex-klient dostávat e-maily donekonečna.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Změna e-mailu klienta — nový e-mail se propaguje přes batch. Do té doby odchází notifikace na starý. Bez bounce monitoringu firma nezjistí selhání.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Nevalidní kombinace profilových atributů — edge cases (OSVČ + zaměstnavatel + čtvrtletní DPH) musí být otestovány před ostrým provozem.</w:t>
      </w:r>
    </w:p>
    <w:p>
      <w:r>
        <w:br w:type="page"/>
      </w:r>
    </w:p>
    <w:p>
      <w:pPr>
        <w:pStyle w:val="Heading1"/>
        <w:pBdr>
          <w:bottom w:val="single" w:color="F4B639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82952"/>
          <w:sz w:val="28"/>
          <w:szCs w:val="28"/>
        </w:rPr>
        <w:t xml:space="preserve">Závěr — Připravenost k zadání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82952"/>
          <w:sz w:val="22"/>
          <w:szCs w:val="22"/>
        </w:rPr>
        <w:t xml:space="preserve">Stav dokumentu</w:t>
      </w:r>
    </w:p>
    <w:p>
      <w:pPr>
        <w:spacing w:before="4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Tento Product Architecture Document zachycuje kompletní discovery proces od analýzy problému po definici MVP. Dokument je připraven jako podklad pro poptávkové řízení vývojového týmu nebo externího dodavatele.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82952"/>
          <w:sz w:val="22"/>
          <w:szCs w:val="22"/>
        </w:rPr>
        <w:t xml:space="preserve">Doporučené další kroky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Verifikovat dostupnost Helios REST API v rámci stávající licence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Verifikovat formát a stabilitu datové sady MFČR Open Data (Daňový kalendář) před zahájením vývoje M3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Změřit baseline: počet urgencí měsíčně a hodin strávených manuální komunikací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Definovat a zdokumentovat mapovací pravidla (profil klienta → sada povinností) před spuštěním — ověřit s účetními odborníky firmy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Zahájit výběr vývojového dodavatele s tímto PAD jako technickým zadáním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Naplánovat shadow mode na 30 dní před ostrým spuštěním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Smluvně ošetřit SLA s dodavatelem včetně reakce na změny MFČR formátu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F4B639" w:sz="12"/>
              <w:bottom w:val="none" w:color="FFFFFF" w:sz="0"/>
              <w:right w:val="none" w:color="FFFFFF" w:sz="0"/>
            </w:tcBorders>
            <w:shd w:fill="F5F6F8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55577"/>
                <w:sz w:val="19"/>
                <w:szCs w:val="19"/>
              </w:rPr>
              <w:t xml:space="preserve">Dokument je živý — doporučujeme ho aktualizovat po každém klíčovém rozhodnutí nebo změně rozsahu.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top w:val="single" w:color="F4B639" w:sz="4" w:space="4"/>
        </w:pBdr>
        <w:spacing w:before="0" w:after="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Product Architecture Document  |  Verze 1.2  |  Březen 2026</w:t>
      </w:r>
    </w:p>
    <w:sectPr>
      <w:headerReference w:type="default" r:id="rId6"/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4B639" w:sz="4" w:space="2"/>
      </w:pBdr>
      <w:tabs>
        <w:tab w:val="right" w:pos="8506"/>
      </w:tabs>
      <w:spacing w:before="0" w:after="0"/>
    </w:pPr>
    <w:r>
      <w:rPr>
        <w:rFonts w:ascii="Arial" w:cs="Arial" w:eastAsia="Arial" w:hAnsi="Arial"/>
        <w:color w:val="888888"/>
        <w:sz w:val="16"/>
        <w:szCs w:val="16"/>
      </w:rPr>
      <w:t xml:space="preserve">Product Architecture Document  |  Verze 1.2  |  Březen 2026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Strana </w:t>
    </w:r>
    <w:fldSimple w:instr="PAGE">
      <w:r>
        <w:rPr>
          <w:rFonts w:ascii="Arial" w:cs="Arial" w:eastAsia="Arial" w:hAnsi="Arial"/>
          <w:color w:val="888888"/>
          <w:sz w:val="16"/>
          <w:szCs w:val="16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4B639" w:sz="4" w:space="2"/>
      </w:pBdr>
      <w:tabs>
        <w:tab w:val="right" w:pos="8506"/>
      </w:tabs>
      <w:spacing w:before="0" w:after="0"/>
    </w:pPr>
    <w:r>
      <w:rPr>
        <w:rFonts w:ascii="Arial" w:cs="Arial" w:eastAsia="Arial" w:hAnsi="Arial"/>
        <w:color w:val="888888"/>
        <w:sz w:val="16"/>
        <w:szCs w:val="16"/>
      </w:rPr>
      <w:t xml:space="preserve">VERK LAB  |  Product Architecture Document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Systém automatizovaných daňových notifikací  |  v1.2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8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82952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18295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2026-03-29T21:22:15.518Z</dcterms:created>
  <dcterms:modified xsi:type="dcterms:W3CDTF">2026-03-29T21:22:15.518Z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