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UYUM POLİTİKASI</w:t>
            </w:r>
          </w:p>
          <w:p>
            <w:r>
              <w:rPr>
                <w:b w:val="0"/>
                <w:sz w:val="21"/>
              </w:rPr>
              <w:t>Kapsam: Yasal, düzenleyici ve sözleşmesel yükümlülükler.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Şirketin faaliyetlerinin ilgili mevzuata (KVKK, BTK, sektörel düzenlemeler) ve müşteri sözleşmelerine uygun olarak yürütülmesini sağlamak.</w:t>
      </w:r>
    </w:p>
    <w:p>
      <w:pPr>
        <w:spacing w:before="160" w:after="40"/>
      </w:pPr>
      <w:r>
        <w:rPr>
          <w:b/>
          <w:color w:val="7C9E0E"/>
          <w:sz w:val="24"/>
        </w:rPr>
        <w:t>2. Sorumluluklar</w:t>
      </w:r>
    </w:p>
    <w:p>
      <w:pPr>
        <w:pStyle w:val="ListBullet"/>
      </w:pPr>
      <w:r>
        <w:t>Hukuk Danışmanı / BGYS Temsilcisi: Mevzuat değişikliklerini takip eder ve uyumu değerlendirir.</w:t>
      </w:r>
    </w:p>
    <w:p>
      <w:pPr>
        <w:spacing w:before="160" w:after="40"/>
      </w:pPr>
      <w:r>
        <w:rPr>
          <w:b/>
          <w:color w:val="7C9E0E"/>
          <w:sz w:val="24"/>
        </w:rPr>
        <w:t>3. Uygulama Kuralları</w:t>
      </w:r>
    </w:p>
    <w:p>
      <w:pPr>
        <w:pStyle w:val="ListNumber"/>
      </w:pPr>
      <w:r>
        <w:t>Kişisel veri işleme faaliyetleri KVKK’ya uygun yürütülür; aydınlatma metni ve açık rıza alınır.</w:t>
      </w:r>
    </w:p>
    <w:p>
      <w:pPr>
        <w:pStyle w:val="ListNumber"/>
      </w:pPr>
      <w:r>
        <w:t>BTK’nın internet servis sağlayıcılarına yönelik güvenlik ve trafik kaydı saklama yükümlülükleri yerine getirilir.</w:t>
      </w:r>
    </w:p>
    <w:p>
      <w:pPr>
        <w:pStyle w:val="ListNumber"/>
      </w:pPr>
      <w:r>
        <w:t>Fikri mülkiyet haklarına saygı gösterilir, lisanslı yazılım kullanılır.</w:t>
      </w:r>
    </w:p>
    <w:p>
      <w:pPr>
        <w:pStyle w:val="ListNumber"/>
      </w:pPr>
      <w:r>
        <w:t>Uyum kontrolleri yıllık iç denetimle doğrulanır.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