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{FİRMA_UNVANI}</w:t>
            </w:r>
          </w:p>
          <w:p>
            <w:r>
              <w:rPr>
                <w:b w:val="0"/>
                <w:sz w:val="21"/>
              </w:rPr>
              <w:t>{FİRMA_ADRESI}</w:t>
            </w:r>
          </w:p>
          <w:p>
            <w:r>
              <w:rPr>
                <w:b/>
                <w:color w:val="7C9E0E"/>
                <w:sz w:val="25"/>
              </w:rPr>
              <w:t>İŞ SÜREKLİLİĞİ POLİTİKASI</w:t>
            </w:r>
          </w:p>
          <w:p>
            <w:r>
              <w:rPr>
                <w:b w:val="0"/>
                <w:sz w:val="21"/>
              </w:rPr>
              <w:t>Kapsam: Kritik iş süreçleri ve bilgi sistemleri.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{REVIZYON}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{DURUM}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{TARIH}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Beklenmedik kesintilerde (siber saldırı, doğal afet, arıza vb.) iş süreçlerinin sürdürülebilirliğini ve minimum hizmet seviyesini garanti altına almak.</w:t>
      </w:r>
    </w:p>
    <w:p>
      <w:pPr>
        <w:spacing w:before="160" w:after="40"/>
      </w:pPr>
      <w:r>
        <w:rPr>
          <w:b/>
          <w:color w:val="7C9E0E"/>
          <w:sz w:val="24"/>
        </w:rPr>
        <w:t>2. Sorumluluklar</w:t>
      </w:r>
    </w:p>
    <w:p>
      <w:pPr>
        <w:pStyle w:val="ListBullet"/>
      </w:pPr>
      <w:r>
        <w:t>Genel Müdür: İş sürekliliği planının onaylanması ve uygulanması.</w:t>
      </w:r>
    </w:p>
    <w:p>
      <w:pPr>
        <w:pStyle w:val="ListBullet"/>
      </w:pPr>
      <w:r>
        <w:t>Teknik Ekip: Yedekleme ve kurtarma işlemlerini gerçekleştirir.</w:t>
      </w:r>
    </w:p>
    <w:p>
      <w:pPr>
        <w:spacing w:before="160" w:after="40"/>
      </w:pPr>
      <w:r>
        <w:rPr>
          <w:b/>
          <w:color w:val="7C9E0E"/>
          <w:sz w:val="24"/>
        </w:rPr>
        <w:t>3. Uygulama Kuralları</w:t>
      </w:r>
    </w:p>
    <w:p>
      <w:pPr>
        <w:pStyle w:val="ListNumber"/>
      </w:pPr>
      <w:r>
        <w:t>Kritik uygulama ve veriler günlük yedeklenir (yerel ve bulut).</w:t>
      </w:r>
    </w:p>
    <w:p>
      <w:pPr>
        <w:pStyle w:val="ListNumber"/>
      </w:pPr>
      <w:r>
        <w:t>Yedekler farklı bir coğrafi konumda saklanır.</w:t>
      </w:r>
    </w:p>
    <w:p>
      <w:pPr>
        <w:pStyle w:val="ListNumber"/>
      </w:pPr>
      <w:r>
        <w:t>Yılda en az bir kez masa başı felaket senaryosu testi yapılır.</w:t>
      </w:r>
    </w:p>
    <w:p>
      <w:pPr>
        <w:pStyle w:val="ListNumber"/>
      </w:pPr>
      <w:r>
        <w:t>Acil durum iletişim listesi güncel tutulur.</w:t>
      </w:r>
    </w:p>
    <w:p>
      <w:pPr>
        <w:pStyle w:val="ListNumber"/>
      </w:pPr>
      <w:r>
        <w:t>Kurtarma süresi (RTO) ve kabul edilebilir veri kaybı (RPO) belirlenir (ör. RTO=4 saat, RPO=1 saat).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