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2856"/>
        <w:gridCol w:w="7224"/>
      </w:tblGrid>
      <w:tr>
        <w:tc>
          <w:tcPr>
            <w:tcW w:type="dxa" w:w="2856"/>
            <w:tcBorders>
              <w:right w:val="single" w:sz="12" w:space="0" w:color="7C9E0E"/>
            </w:tcBorders>
            <w:shd w:val="clear" w:color="auto" w:fill="FFFFFF"/>
          </w:tcPr>
          <w:p>
            <w:pPr>
              <w:jc w:val="center"/>
            </w:pPr>
            <w:r>
              <w:rPr>
                <w:b/>
                <w:color w:val="7C9E0E"/>
                <w:sz w:val="22"/>
              </w:rPr>
              <w:t>LOGO</w:t>
            </w:r>
          </w:p>
        </w:tc>
        <w:tc>
          <w:tcPr>
            <w:tcW w:type="dxa" w:w="7224"/>
            <w:tcBorders>
              <w:left w:val="single" w:sz="12" w:space="0" w:color="7C9E0E"/>
            </w:tcBorders>
            <w:shd w:val="clear" w:color="auto" w:fill="FFFFFF"/>
          </w:tcPr>
          <w:p>
            <w:r>
              <w:rPr>
                <w:b/>
                <w:sz w:val="26"/>
              </w:rPr>
              <w:t>{{firma_unvan}}</w:t>
            </w:r>
          </w:p>
          <w:p>
            <w:r>
              <w:rPr>
                <w:b w:val="0"/>
                <w:sz w:val="21"/>
              </w:rPr>
              <w:t>{{firma_adresi}}</w:t>
            </w:r>
          </w:p>
          <w:p>
            <w:r>
              <w:rPr>
                <w:b/>
                <w:color w:val="7C9E0E"/>
                <w:sz w:val="25"/>
              </w:rPr>
              <w:t>EĞITIM VE FARKINDALIK PROSEDÜRÜ</w:t>
            </w:r>
          </w:p>
          <w:p>
            <w:r>
              <w:rPr>
                <w:b w:val="0"/>
                <w:sz w:val="21"/>
              </w:rPr>
              <w:t>Kapsam: Tüm çalışanlar, stajyerler, sözleşmeli personel.</w:t>
            </w:r>
          </w:p>
        </w:tc>
      </w:tr>
    </w:tbl>
    <w:p>
      <w:pPr>
        <w:spacing w:before="120"/>
      </w:pPr>
      <w:r>
        <w:rPr>
          <w:b/>
          <w:sz w:val="21"/>
        </w:rPr>
        <w:t xml:space="preserve">İlgili Politika: </w:t>
      </w:r>
      <w:r>
        <w:rPr>
          <w:b w:val="0"/>
          <w:sz w:val="21"/>
        </w:rPr>
        <w:t xml:space="preserve">İnsan Kaynakları Güvenliği Politikası    </w:t>
      </w:r>
      <w:r>
        <w:rPr>
          <w:b/>
          <w:sz w:val="21"/>
        </w:rPr>
        <w:t xml:space="preserve">Prosedür Kodu: </w:t>
      </w:r>
      <w:r>
        <w:rPr>
          <w:b w:val="0"/>
          <w:sz w:val="21"/>
        </w:rPr>
        <w:t xml:space="preserve">BG.PRS.13    </w:t>
      </w:r>
      <w:r>
        <w:rPr>
          <w:b/>
          <w:sz w:val="21"/>
        </w:rPr>
        <w:t xml:space="preserve">Revizyon: </w:t>
      </w:r>
      <w:r>
        <w:rPr>
          <w:b w:val="0"/>
          <w:sz w:val="21"/>
        </w:rPr>
        <w:t>v1.0 – Nisan 2026</w:t>
      </w:r>
    </w:p>
    <w:p>
      <w:pPr>
        <w:spacing w:before="160"/>
      </w:pPr>
      <w:r>
        <w:rPr>
          <w:b/>
          <w:color w:val="7C9E0E"/>
          <w:sz w:val="24"/>
        </w:rPr>
        <w:t>1. Amaç</w:t>
      </w:r>
    </w:p>
    <w:p>
      <w:r>
        <w:t>{{firma_unvan}} çalışanlarının bilgi güvenliği konusunda bilinçlendirilmesini ve yetkinliklerinin artırılmasını sağlamak.</w:t>
      </w:r>
    </w:p>
    <w:p>
      <w:pPr>
        <w:spacing w:before="160"/>
      </w:pPr>
      <w:r>
        <w:rPr>
          <w:b/>
          <w:color w:val="7C9E0E"/>
          <w:sz w:val="24"/>
        </w:rPr>
        <w:t>2. Kapsam</w:t>
      </w:r>
    </w:p>
    <w:p>
      <w:r>
        <w:t>Tüm çalışanlar, stajyerler, sözleşmeli personel.</w:t>
      </w:r>
    </w:p>
    <w:p>
      <w:pPr>
        <w:spacing w:before="160"/>
      </w:pPr>
      <w:r>
        <w:rPr>
          <w:b/>
          <w:color w:val="7C9E0E"/>
          <w:sz w:val="24"/>
        </w:rPr>
        <w:t>3. Sorumluluklar</w:t>
      </w:r>
    </w:p>
    <w:p>
      <w:r>
        <w:t>BGYS Temsilcisi: Eğitim programını planlar ve uygular.</w:t>
      </w:r>
    </w:p>
    <w:p>
      <w:r>
        <w:t>İK Yöneticisi: Eğitim kayıtlarını tutar.</w:t>
      </w:r>
    </w:p>
    <w:p>
      <w:pPr>
        <w:spacing w:before="160"/>
      </w:pPr>
      <w:r>
        <w:rPr>
          <w:b/>
          <w:color w:val="7C9E0E"/>
          <w:sz w:val="24"/>
        </w:rPr>
        <w:t>4. Uygulama Adımları</w:t>
      </w:r>
    </w:p>
    <w:p>
      <w:pPr>
        <w:spacing w:before="80"/>
      </w:pPr>
      <w:r>
        <w:rPr>
          <w:b/>
          <w:color w:val="7C9E0E"/>
          <w:sz w:val="22"/>
        </w:rPr>
        <w:t>4.1. Eğitim Planlaması</w:t>
      </w:r>
    </w:p>
    <w:p>
      <w:r>
        <w:t>Yıllık Eğitim Takvimi hazırlanır.</w:t>
      </w:r>
    </w:p>
    <w:p>
      <w:r>
        <w:t>Eğitim ihtiyaçları belirlenir (yeni politika, teknoloji, olaylar).</w:t>
      </w:r>
    </w:p>
    <w:p>
      <w:r>
        <w:t>Eğitim materyalleri (sunum, video, doküman) hazırlanır.</w:t>
      </w:r>
    </w:p>
    <w:p>
      <w:pPr>
        <w:spacing w:before="80"/>
      </w:pPr>
      <w:r>
        <w:rPr>
          <w:b/>
          <w:color w:val="7C9E0E"/>
          <w:sz w:val="22"/>
        </w:rPr>
        <w:t>4.2. Zorunlu Eğitimler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Eğitim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Hedef Kitle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Sıklık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Süre</w:t>
            </w:r>
          </w:p>
        </w:tc>
      </w:tr>
      <w:tr>
        <w:tc>
          <w:tcPr>
            <w:tcW w:type="dxa" w:w="2160"/>
          </w:tcPr>
          <w:p>
            <w:r>
              <w:t>İşe Başlangıç Bilgi Güvenliği</w:t>
            </w:r>
          </w:p>
        </w:tc>
        <w:tc>
          <w:tcPr>
            <w:tcW w:type="dxa" w:w="2160"/>
          </w:tcPr>
          <w:p>
            <w:r>
              <w:t>Yeni çalışanlar</w:t>
            </w:r>
          </w:p>
        </w:tc>
        <w:tc>
          <w:tcPr>
            <w:tcW w:type="dxa" w:w="2160"/>
          </w:tcPr>
          <w:p>
            <w:r>
              <w:t>1 kez</w:t>
            </w:r>
          </w:p>
        </w:tc>
        <w:tc>
          <w:tcPr>
            <w:tcW w:type="dxa" w:w="2160"/>
          </w:tcPr>
          <w:p>
            <w:r>
              <w:t>2 saat</w:t>
            </w:r>
          </w:p>
        </w:tc>
      </w:tr>
      <w:tr>
        <w:tc>
          <w:tcPr>
            <w:tcW w:type="dxa" w:w="2160"/>
          </w:tcPr>
          <w:p>
            <w:r>
              <w:t>Yıllık Farkındalık</w:t>
            </w:r>
          </w:p>
        </w:tc>
        <w:tc>
          <w:tcPr>
            <w:tcW w:type="dxa" w:w="2160"/>
          </w:tcPr>
          <w:p>
            <w:r>
              <w:t>Tüm çalışanlar</w:t>
            </w:r>
          </w:p>
        </w:tc>
        <w:tc>
          <w:tcPr>
            <w:tcW w:type="dxa" w:w="2160"/>
          </w:tcPr>
          <w:p>
            <w:r>
              <w:t>Yılda 1</w:t>
            </w:r>
          </w:p>
        </w:tc>
        <w:tc>
          <w:tcPr>
            <w:tcW w:type="dxa" w:w="2160"/>
          </w:tcPr>
          <w:p>
            <w:r>
              <w:t>4 saat</w:t>
            </w:r>
          </w:p>
        </w:tc>
      </w:tr>
      <w:tr>
        <w:tc>
          <w:tcPr>
            <w:tcW w:type="dxa" w:w="2160"/>
          </w:tcPr>
          <w:p>
            <w:r>
              <w:t>Güvenlik Olayı Müdahale</w:t>
            </w:r>
          </w:p>
        </w:tc>
        <w:tc>
          <w:tcPr>
            <w:tcW w:type="dxa" w:w="2160"/>
          </w:tcPr>
          <w:p>
            <w:r>
              <w:t>Teknik ekip</w:t>
            </w:r>
          </w:p>
        </w:tc>
        <w:tc>
          <w:tcPr>
            <w:tcW w:type="dxa" w:w="2160"/>
          </w:tcPr>
          <w:p>
            <w:r>
              <w:t>Yılda 1</w:t>
            </w:r>
          </w:p>
        </w:tc>
        <w:tc>
          <w:tcPr>
            <w:tcW w:type="dxa" w:w="2160"/>
          </w:tcPr>
          <w:p>
            <w:r>
              <w:t>4 saat</w:t>
            </w:r>
          </w:p>
        </w:tc>
      </w:tr>
      <w:tr>
        <w:tc>
          <w:tcPr>
            <w:tcW w:type="dxa" w:w="2160"/>
          </w:tcPr>
          <w:p>
            <w:r>
              <w:t>Kişisel Veri Koruma</w:t>
            </w:r>
          </w:p>
        </w:tc>
        <w:tc>
          <w:tcPr>
            <w:tcW w:type="dxa" w:w="2160"/>
          </w:tcPr>
          <w:p>
            <w:r>
              <w:t>Tüm çalışanlar</w:t>
            </w:r>
          </w:p>
        </w:tc>
        <w:tc>
          <w:tcPr>
            <w:tcW w:type="dxa" w:w="2160"/>
          </w:tcPr>
          <w:p>
            <w:r>
              <w:t>Yılda 1</w:t>
            </w:r>
          </w:p>
        </w:tc>
        <w:tc>
          <w:tcPr>
            <w:tcW w:type="dxa" w:w="2160"/>
          </w:tcPr>
          <w:p>
            <w:r>
              <w:t>2 saat</w:t>
            </w:r>
          </w:p>
        </w:tc>
      </w:tr>
    </w:tbl>
    <w:p>
      <w:pPr>
        <w:spacing w:before="80"/>
      </w:pPr>
      <w:r>
        <w:rPr>
          <w:b/>
          <w:color w:val="7C9E0E"/>
          <w:sz w:val="22"/>
        </w:rPr>
        <w:t>4.3. Eğitim Uygulama</w:t>
      </w:r>
    </w:p>
    <w:p>
      <w:r>
        <w:t>Eğitim duyurusu en az 2 hafta önceden yapılır.</w:t>
      </w:r>
    </w:p>
    <w:p>
      <w:r>
        <w:t>Eğitim materyalleri paylaşılır.</w:t>
      </w:r>
    </w:p>
    <w:p>
      <w:r>
        <w:t>Katılım listesi tutulur.</w:t>
      </w:r>
    </w:p>
    <w:p>
      <w:r>
        <w:t>Eğitim sonrası değerlendirme testi uygulanır (başarı puanı ≥%70).</w:t>
      </w:r>
    </w:p>
    <w:p>
      <w:pPr>
        <w:spacing w:before="80"/>
      </w:pPr>
      <w:r>
        <w:rPr>
          <w:b/>
          <w:color w:val="7C9E0E"/>
          <w:sz w:val="22"/>
        </w:rPr>
        <w:t>4.4. Eğitim Kaydı</w:t>
      </w:r>
    </w:p>
    <w:p>
      <w:r>
        <w:t>Her eğitim için aşağıdaki bilgiler kaydedilir:</w:t>
      </w:r>
    </w:p>
    <w:p>
      <w:r>
        <w:t>Eğitim adı ve tarihi</w:t>
      </w:r>
    </w:p>
    <w:p>
      <w:r>
        <w:t>Eğitmen</w:t>
      </w:r>
    </w:p>
    <w:p>
      <w:r>
        <w:t>Katılımcı listesi</w:t>
      </w:r>
    </w:p>
    <w:p>
      <w:r>
        <w:t>Başarı puanları</w:t>
      </w:r>
    </w:p>
    <w:p>
      <w:r>
        <w:t>Sertifika (varsa)</w:t>
      </w:r>
    </w:p>
    <w:p>
      <w:pPr>
        <w:spacing w:before="160"/>
      </w:pPr>
      <w:r>
        <w:rPr>
          <w:b/>
          <w:color w:val="7C9E0E"/>
          <w:sz w:val="24"/>
        </w:rPr>
        <w:t>5. Eğitim Materyalleri</w:t>
      </w:r>
    </w:p>
    <w:p>
      <w:r>
        <w:t>Bilgi Güvenliği Politikası özeti</w:t>
      </w:r>
    </w:p>
    <w:p>
      <w:r>
        <w:t>Erişim Kontrol kuralları</w:t>
      </w:r>
    </w:p>
    <w:p>
      <w:r>
        <w:t>Şifre güvenliği</w:t>
      </w:r>
    </w:p>
    <w:p>
      <w:r>
        <w:t>Sosyal mühendislik farkındalığı</w:t>
      </w:r>
    </w:p>
    <w:p>
      <w:r>
        <w:t>Olay bildirim süreci</w:t>
      </w:r>
    </w:p>
    <w:p>
      <w:r>
        <w:t>KVKK temel prensipleri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