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2856"/>
        <w:gridCol w:w="7224"/>
      </w:tblGrid>
      <w:tr>
        <w:tc>
          <w:tcPr>
            <w:tcW w:type="dxa" w:w="2856"/>
            <w:tcBorders>
              <w:right w:val="single" w:sz="12" w:space="0" w:color="7C9E0E"/>
            </w:tcBorders>
            <w:shd w:val="clear" w:color="auto" w:fill="FFFFFF"/>
          </w:tcPr>
          <w:p>
            <w:pPr>
              <w:jc w:val="center"/>
            </w:pPr>
            <w:r>
              <w:rPr>
                <w:b/>
                <w:color w:val="7C9E0E"/>
                <w:sz w:val="22"/>
              </w:rPr>
              <w:t>LOGO</w:t>
            </w:r>
          </w:p>
        </w:tc>
        <w:tc>
          <w:tcPr>
            <w:tcW w:type="dxa" w:w="7224"/>
            <w:tcBorders>
              <w:left w:val="single" w:sz="12" w:space="0" w:color="7C9E0E"/>
            </w:tcBorders>
            <w:shd w:val="clear" w:color="auto" w:fill="FFFFFF"/>
          </w:tcPr>
          <w:p>
            <w:r>
              <w:rPr>
                <w:b/>
                <w:sz w:val="26"/>
              </w:rPr>
              <w:t>{{firma_unvan}}</w:t>
            </w:r>
          </w:p>
          <w:p>
            <w:r>
              <w:rPr>
                <w:b w:val="0"/>
                <w:sz w:val="21"/>
              </w:rPr>
              <w:t>{{firma_adresi}}</w:t>
            </w:r>
          </w:p>
          <w:p>
            <w:r>
              <w:rPr>
                <w:b/>
                <w:color w:val="7C9E0E"/>
                <w:sz w:val="25"/>
              </w:rPr>
              <w:t>VARLIK SINIFLANDIRMA PROSEDÜRÜ</w:t>
            </w:r>
          </w:p>
          <w:p>
            <w:r>
              <w:rPr>
                <w:b w:val="0"/>
                <w:sz w:val="21"/>
              </w:rPr>
              <w:t>Kapsam: Tüm bilgi varlıkları (fiziksel ve dijital).</w:t>
            </w:r>
          </w:p>
        </w:tc>
      </w:tr>
    </w:tbl>
    <w:p>
      <w:pPr>
        <w:spacing w:before="120"/>
      </w:pPr>
      <w:r>
        <w:rPr>
          <w:b/>
          <w:sz w:val="21"/>
        </w:rPr>
        <w:t xml:space="preserve">İlgili Politika: </w:t>
      </w:r>
      <w:r>
        <w:rPr>
          <w:b w:val="0"/>
          <w:sz w:val="21"/>
        </w:rPr>
        <w:t xml:space="preserve">Varlık Yönetimi Politikası    </w:t>
      </w:r>
      <w:r>
        <w:rPr>
          <w:b/>
          <w:sz w:val="21"/>
        </w:rPr>
        <w:t xml:space="preserve">Prosedür Kodu: </w:t>
      </w:r>
      <w:r>
        <w:rPr>
          <w:b w:val="0"/>
          <w:sz w:val="21"/>
        </w:rPr>
        <w:t xml:space="preserve">BG.PRS.04    </w:t>
      </w:r>
      <w:r>
        <w:rPr>
          <w:b/>
          <w:sz w:val="21"/>
        </w:rPr>
        <w:t xml:space="preserve">Revizyon: </w:t>
      </w:r>
      <w:r>
        <w:rPr>
          <w:b w:val="0"/>
          <w:sz w:val="21"/>
        </w:rPr>
        <w:t>v1.0 – Nisan 2026</w:t>
      </w:r>
    </w:p>
    <w:p>
      <w:pPr>
        <w:spacing w:before="160"/>
      </w:pPr>
      <w:r>
        <w:rPr>
          <w:b/>
          <w:color w:val="7C9E0E"/>
          <w:sz w:val="24"/>
        </w:rPr>
        <w:t>1. Amaç</w:t>
      </w:r>
    </w:p>
    <w:p>
      <w:r>
        <w:t>{{firma_unvan}} bünyesindeki tüm bilgi varlıklarının gizlilik, bütünlük ve erişilebilirlik kriterlerine göre sınıflandırılmasını sağlamak.</w:t>
      </w:r>
    </w:p>
    <w:p>
      <w:pPr>
        <w:spacing w:before="160"/>
      </w:pPr>
      <w:r>
        <w:rPr>
          <w:b/>
          <w:color w:val="7C9E0E"/>
          <w:sz w:val="24"/>
        </w:rPr>
        <w:t>2. Kapsam</w:t>
      </w:r>
    </w:p>
    <w:p>
      <w:r>
        <w:t>Tüm bilgi varlıkları (fiziksel ve dijital).</w:t>
      </w:r>
    </w:p>
    <w:p>
      <w:pPr>
        <w:spacing w:before="160"/>
      </w:pPr>
      <w:r>
        <w:rPr>
          <w:b/>
          <w:color w:val="7C9E0E"/>
          <w:sz w:val="24"/>
        </w:rPr>
        <w:t>3. Sorumluluklar</w:t>
      </w:r>
    </w:p>
    <w:p>
      <w:r>
        <w:t>Varlık Sahipleri: Varlığın sınıflandırmasını yapar ve günceller.</w:t>
      </w:r>
    </w:p>
    <w:p>
      <w:r>
        <w:t>BGYS Temsilcisi: Sınıflandırmanın doğruluğunu denetler.</w:t>
      </w:r>
    </w:p>
    <w:p>
      <w:pPr>
        <w:spacing w:before="160"/>
      </w:pPr>
      <w:r>
        <w:rPr>
          <w:b/>
          <w:color w:val="7C9E0E"/>
          <w:sz w:val="24"/>
        </w:rPr>
        <w:t>4. Sınıflandırma Seviyeleri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Seviye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Açıklama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Örnek</w:t>
            </w:r>
          </w:p>
        </w:tc>
      </w:tr>
      <w:tr>
        <w:tc>
          <w:tcPr>
            <w:tcW w:type="dxa" w:w="2880"/>
          </w:tcPr>
          <w:p>
            <w:r>
              <w:t>Gizli</w:t>
            </w:r>
          </w:p>
        </w:tc>
        <w:tc>
          <w:tcPr>
            <w:tcW w:type="dxa" w:w="2880"/>
          </w:tcPr>
          <w:p>
            <w:r>
              <w:t>Yalnızca yetkili kişiler erişebilir</w:t>
            </w:r>
          </w:p>
        </w:tc>
        <w:tc>
          <w:tcPr>
            <w:tcW w:type="dxa" w:w="2880"/>
          </w:tcPr>
          <w:p>
            <w:r>
              <w:t>Müşteri veritabanı, şifreler, sözleşmeler</w:t>
            </w:r>
          </w:p>
        </w:tc>
      </w:tr>
      <w:tr>
        <w:tc>
          <w:tcPr>
            <w:tcW w:type="dxa" w:w="2880"/>
          </w:tcPr>
          <w:p>
            <w:r>
              <w:t>Hizmete Özel</w:t>
            </w:r>
          </w:p>
        </w:tc>
        <w:tc>
          <w:tcPr>
            <w:tcW w:type="dxa" w:w="2880"/>
          </w:tcPr>
          <w:p>
            <w:r>
              <w:t>İç kullanım, çalışanlar arası paylaşılabilir</w:t>
            </w:r>
          </w:p>
        </w:tc>
        <w:tc>
          <w:tcPr>
            <w:tcW w:type="dxa" w:w="2880"/>
          </w:tcPr>
          <w:p>
            <w:r>
              <w:t>İç dokümanlar, politikalar</w:t>
            </w:r>
          </w:p>
        </w:tc>
      </w:tr>
      <w:tr>
        <w:tc>
          <w:tcPr>
            <w:tcW w:type="dxa" w:w="2880"/>
          </w:tcPr>
          <w:p>
            <w:r>
              <w:t>Kuruma Özel</w:t>
            </w:r>
          </w:p>
        </w:tc>
        <w:tc>
          <w:tcPr>
            <w:tcW w:type="dxa" w:w="2880"/>
          </w:tcPr>
          <w:p>
            <w:r>
              <w:t>Kurum içi, kamuya açık değil</w:t>
            </w:r>
          </w:p>
        </w:tc>
        <w:tc>
          <w:tcPr>
            <w:tcW w:type="dxa" w:w="2880"/>
          </w:tcPr>
          <w:p>
            <w:r>
              <w:t>Finansal raporlar, strateji belgeleri</w:t>
            </w:r>
          </w:p>
        </w:tc>
      </w:tr>
      <w:tr>
        <w:tc>
          <w:tcPr>
            <w:tcW w:type="dxa" w:w="2880"/>
          </w:tcPr>
          <w:p>
            <w:r>
              <w:t>Genel</w:t>
            </w:r>
          </w:p>
        </w:tc>
        <w:tc>
          <w:tcPr>
            <w:tcW w:type="dxa" w:w="2880"/>
          </w:tcPr>
          <w:p>
            <w:r>
              <w:t>Herkese açık yayınlanabilir</w:t>
            </w:r>
          </w:p>
        </w:tc>
        <w:tc>
          <w:tcPr>
            <w:tcW w:type="dxa" w:w="2880"/>
          </w:tcPr>
          <w:p>
            <w:r>
              <w:t>Web sitesi, hizmet tanıtımları</w:t>
            </w:r>
          </w:p>
        </w:tc>
      </w:tr>
    </w:tbl>
    <w:p>
      <w:pPr>
        <w:spacing w:before="160"/>
      </w:pPr>
      <w:r>
        <w:rPr>
          <w:b/>
          <w:color w:val="7C9E0E"/>
          <w:sz w:val="24"/>
        </w:rPr>
        <w:t>5. Uygulama Adımları</w:t>
      </w:r>
    </w:p>
    <w:p>
      <w:pPr>
        <w:spacing w:before="80"/>
      </w:pPr>
      <w:r>
        <w:rPr>
          <w:b/>
          <w:color w:val="7C9E0E"/>
          <w:sz w:val="22"/>
        </w:rPr>
        <w:t>5.1. Sınıflandırma Değerlendirmesi</w:t>
      </w:r>
    </w:p>
    <w:p>
      <w:r>
        <w:t>Varlığın Gizlilik ihtiyacı 1-3 arasında puanlanır.</w:t>
      </w:r>
    </w:p>
    <w:p>
      <w:r>
        <w:t>Varlığın Bütünlük ihtiyacı 1-3 arasında puanlanır.</w:t>
      </w:r>
    </w:p>
    <w:p>
      <w:r>
        <w:t>Varlığın Erişilebilirlik ihtiyacı 1-3 arasında puanlanır.</w:t>
      </w:r>
    </w:p>
    <w:p>
      <w:pPr>
        <w:spacing w:before="80"/>
      </w:pPr>
      <w:r>
        <w:rPr>
          <w:b/>
          <w:color w:val="7C9E0E"/>
          <w:sz w:val="22"/>
        </w:rPr>
        <w:t>5.2. Sınıflandırma Atama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Toplam Puan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Sınıflandırma Seviyesi</w:t>
            </w:r>
          </w:p>
        </w:tc>
      </w:tr>
      <w:tr>
        <w:tc>
          <w:tcPr>
            <w:tcW w:type="dxa" w:w="4320"/>
          </w:tcPr>
          <w:p>
            <w:r>
              <w:t>7-9</w:t>
            </w:r>
          </w:p>
        </w:tc>
        <w:tc>
          <w:tcPr>
            <w:tcW w:type="dxa" w:w="4320"/>
          </w:tcPr>
          <w:p>
            <w:r>
              <w:t>Gizli</w:t>
            </w:r>
          </w:p>
        </w:tc>
      </w:tr>
      <w:tr>
        <w:tc>
          <w:tcPr>
            <w:tcW w:type="dxa" w:w="4320"/>
          </w:tcPr>
          <w:p>
            <w:r>
              <w:t>5-6</w:t>
            </w:r>
          </w:p>
        </w:tc>
        <w:tc>
          <w:tcPr>
            <w:tcW w:type="dxa" w:w="4320"/>
          </w:tcPr>
          <w:p>
            <w:r>
              <w:t>Hizmete Özel</w:t>
            </w:r>
          </w:p>
        </w:tc>
      </w:tr>
      <w:tr>
        <w:tc>
          <w:tcPr>
            <w:tcW w:type="dxa" w:w="4320"/>
          </w:tcPr>
          <w:p>
            <w:r>
              <w:t>3-4</w:t>
            </w:r>
          </w:p>
        </w:tc>
        <w:tc>
          <w:tcPr>
            <w:tcW w:type="dxa" w:w="4320"/>
          </w:tcPr>
          <w:p>
            <w:r>
              <w:t>Kuruma Özel</w:t>
            </w:r>
          </w:p>
        </w:tc>
      </w:tr>
      <w:tr>
        <w:tc>
          <w:tcPr>
            <w:tcW w:type="dxa" w:w="4320"/>
          </w:tcPr>
          <w:p>
            <w:r>
              <w:t>1-2</w:t>
            </w:r>
          </w:p>
        </w:tc>
        <w:tc>
          <w:tcPr>
            <w:tcW w:type="dxa" w:w="4320"/>
          </w:tcPr>
          <w:p>
            <w:r>
              <w:t>Genel</w:t>
            </w:r>
          </w:p>
        </w:tc>
      </w:tr>
    </w:tbl>
    <w:p>
      <w:pPr>
        <w:spacing w:before="80"/>
      </w:pPr>
      <w:r>
        <w:rPr>
          <w:b/>
          <w:color w:val="7C9E0E"/>
          <w:sz w:val="22"/>
        </w:rPr>
        <w:t>5.3. Etiketleme ve İşaretleme</w:t>
      </w:r>
    </w:p>
    <w:p>
      <w:r>
        <w:t>Fiziksel varlıklar renk kodlu etiketlerle işaretlenir.</w:t>
      </w:r>
    </w:p>
    <w:p>
      <w:r>
        <w:t>Dijital varlıklar sistem üzerinde sınıflandırma etiketi alır.</w:t>
      </w:r>
    </w:p>
    <w:p>
      <w:r>
        <w:t>Gizli varlıklar "GİZLİ" ibaresi ile işaretlenir.</w:t>
      </w:r>
    </w:p>
    <w:p>
      <w:pPr>
        <w:spacing w:before="160"/>
      </w:pPr>
      <w:r>
        <w:rPr>
          <w:b/>
          <w:color w:val="7C9E0E"/>
          <w:sz w:val="24"/>
        </w:rPr>
        <w:t>6. Gözden Geçirme</w:t>
      </w:r>
    </w:p>
    <w:p>
      <w:r>
        <w:t>Sınıflandırmalar yılda bir kez veya varlık önemli değişiklik geçirdiğinde güncellenir.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