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tblLayout w:type="fixed"/>
        <w:tblLook w:firstColumn="1" w:firstRow="1" w:lastColumn="0" w:lastRow="0" w:noHBand="0" w:noVBand="1" w:val="04A0"/>
      </w:tblPr>
      <w:tblGrid>
        <w:gridCol w:w="2856"/>
        <w:gridCol w:w="7224"/>
      </w:tblGrid>
      <w:tr>
        <w:tc>
          <w:tcPr>
            <w:tcW w:type="dxa" w:w="2856"/>
            <w:tcBorders>
              <w:right w:val="single" w:sz="12" w:space="0" w:color="7C9E0E"/>
            </w:tcBorders>
            <w:shd w:val="clear" w:color="auto" w:fill="FFFFFF"/>
          </w:tcPr>
          <w:p>
            <w:pPr>
              <w:jc w:val="center"/>
            </w:pPr>
            <w:r>
              <w:rPr>
                <w:b/>
                <w:color w:val="7C9E0E"/>
                <w:sz w:val="22"/>
              </w:rPr>
              <w:t>LOGO</w:t>
            </w:r>
          </w:p>
        </w:tc>
        <w:tc>
          <w:tcPr>
            <w:tcW w:type="dxa" w:w="7224"/>
            <w:tcBorders>
              <w:left w:val="single" w:sz="12" w:space="0" w:color="7C9E0E"/>
            </w:tcBorders>
            <w:shd w:val="clear" w:color="auto" w:fill="FFFFFF"/>
          </w:tcPr>
          <w:p>
            <w:r>
              <w:rPr>
                <w:b/>
                <w:sz w:val="26"/>
              </w:rPr>
              <w:t>Örnek Firma Bilgi Teknolojileri A.Ş.</w:t>
            </w:r>
          </w:p>
          <w:p>
            <w:r>
              <w:rPr>
                <w:b w:val="0"/>
                <w:sz w:val="21"/>
              </w:rPr>
              <w:t>Örnek Mah. Örnek Cad. No:1 Kat:2, 34000 İstanbul, Türkiye</w:t>
            </w:r>
          </w:p>
          <w:p>
            <w:r>
              <w:rPr>
                <w:b/>
                <w:color w:val="7C9E0E"/>
                <w:sz w:val="25"/>
              </w:rPr>
              <w:t>BİLGİ GÜVENLİĞİ POLİTİKASI (ÜST POLİTİKA)</w:t>
            </w:r>
          </w:p>
          <w:p>
            <w:r>
              <w:rPr>
                <w:b w:val="0"/>
                <w:sz w:val="21"/>
              </w:rPr>
              <w:t>Kapsam: Tüm çalışanlar, tüm bilgi varlıkları, süreçler ve hizmetler.</w:t>
            </w:r>
          </w:p>
        </w:tc>
      </w:tr>
    </w:tbl>
    <w:p>
      <w:pPr>
        <w:spacing w:before="120"/>
      </w:pPr>
      <w:r>
        <w:rPr>
          <w:b/>
          <w:sz w:val="21"/>
        </w:rPr>
        <w:t xml:space="preserve">Revizyon: </w:t>
      </w:r>
      <w:r>
        <w:rPr>
          <w:b w:val="0"/>
          <w:sz w:val="21"/>
        </w:rPr>
        <w:t xml:space="preserve">v1.0 – Nisan 2026    </w:t>
      </w:r>
      <w:r>
        <w:rPr>
          <w:b/>
          <w:sz w:val="21"/>
        </w:rPr>
        <w:t xml:space="preserve">Durum: </w:t>
      </w:r>
      <w:r>
        <w:rPr>
          <w:b w:val="0"/>
          <w:sz w:val="21"/>
        </w:rPr>
        <w:t xml:space="preserve">Taslak    </w:t>
      </w:r>
      <w:r>
        <w:rPr>
          <w:b/>
          <w:sz w:val="21"/>
        </w:rPr>
        <w:t xml:space="preserve">Tarih: </w:t>
      </w:r>
      <w:r>
        <w:rPr>
          <w:b w:val="0"/>
          <w:sz w:val="21"/>
        </w:rPr>
        <w:t>Nisan 2026</w:t>
      </w:r>
    </w:p>
    <w:p>
      <w:pPr>
        <w:spacing w:before="160" w:after="40"/>
      </w:pPr>
      <w:r>
        <w:rPr>
          <w:b/>
          <w:color w:val="7C9E0E"/>
          <w:sz w:val="24"/>
        </w:rPr>
        <w:t>1. Amaç</w:t>
      </w:r>
    </w:p>
    <w:p>
      <w:r>
        <w:t>Bu politika, [KURULUS]’nın bilgi varlıklarının gizliliğini, bütünlüğünü ve erişilebilirliğini korumak, ISO/IEC 27001:2022 standardına uygun bir Bilgi Güvenliği Yönetim Sistemi (BGYS) kurmak ve sürdürmek için üst yönetim taahhüdünü ve genel çerçeveyi belirler.</w:t>
      </w:r>
    </w:p>
    <w:p>
      <w:pPr>
        <w:spacing w:before="160" w:after="40"/>
      </w:pPr>
      <w:r>
        <w:rPr>
          <w:b/>
          <w:color w:val="7C9E0E"/>
          <w:sz w:val="24"/>
        </w:rPr>
        <w:t>2. Kapsam</w:t>
      </w:r>
    </w:p>
    <w:p>
      <w:r>
        <w:t>Politika; şirket içindeki tüm çalışanları, sözleşmeli personeli, stajyerleri, tedarikçileri ve iş ortaklarını kapsar. Ayrıca şirkete ait veya şirket sorumluluğundaki tüm bilgi varlıkları (donanım, yazılım, veri, hizmetler) için geçerlidir.</w:t>
      </w:r>
    </w:p>
    <w:p>
      <w:pPr>
        <w:spacing w:before="160" w:after="40"/>
      </w:pPr>
      <w:r>
        <w:rPr>
          <w:b/>
          <w:color w:val="7C9E0E"/>
          <w:sz w:val="24"/>
        </w:rPr>
        <w:t>3. Sorumluluklar</w:t>
      </w:r>
    </w:p>
    <w:p>
      <w:pPr>
        <w:pStyle w:val="ListBullet"/>
      </w:pPr>
      <w:r>
        <w:t>Genel Müdür / Üst Yönetim: BGYS’nin kurulması, kaynak sağlanması ve sürekli iyileştirilmesinden sorumludur.</w:t>
      </w:r>
    </w:p>
    <w:p>
      <w:pPr>
        <w:pStyle w:val="ListBullet"/>
      </w:pPr>
      <w:r>
        <w:t>BGYS Yönetim Temsilcisi: Politikaların uygulanmasını koordine eder, performansı izler ve üst yönetime raporlar.</w:t>
      </w:r>
    </w:p>
    <w:p>
      <w:pPr>
        <w:pStyle w:val="ListBullet"/>
      </w:pPr>
      <w:r>
        <w:t>Tüm Çalışanlar: Bu politika ve türev dokümanlara uymakla, karşılaştıkları güvenlik olaylarını derhal bildirmekle yükümlüdür.</w:t>
      </w:r>
    </w:p>
    <w:p>
      <w:pPr>
        <w:spacing w:before="160" w:after="40"/>
      </w:pPr>
      <w:r>
        <w:rPr>
          <w:b/>
          <w:color w:val="7C9E0E"/>
          <w:sz w:val="24"/>
        </w:rPr>
        <w:t>4. Uygulama Kuralları</w:t>
      </w:r>
    </w:p>
    <w:p>
      <w:pPr>
        <w:pStyle w:val="ListNumber"/>
      </w:pPr>
      <w:r>
        <w:t>Bilgi güvenliği yönetimi, iş süreçlerine entegre edilir.</w:t>
      </w:r>
    </w:p>
    <w:p>
      <w:pPr>
        <w:pStyle w:val="ListNumber"/>
      </w:pPr>
      <w:r>
        <w:t>Risk değerlendirmeleri düzenli olarak yapılır ve tedbirler alınır.</w:t>
      </w:r>
    </w:p>
    <w:p>
      <w:pPr>
        <w:pStyle w:val="ListNumber"/>
      </w:pPr>
      <w:r>
        <w:t>Yasal ve düzenleyici gerekliliklere (KVKK, BTK mevzuatı vb.) tam uyum sağlanır.</w:t>
      </w:r>
    </w:p>
    <w:p>
      <w:pPr>
        <w:pStyle w:val="ListNumber"/>
      </w:pPr>
      <w:r>
        <w:t>Çalışanlar bilgi güvenliği konusunda eğitilir ve farkındalıkları artırılır.</w:t>
      </w:r>
    </w:p>
    <w:p>
      <w:pPr>
        <w:pStyle w:val="ListNumber"/>
      </w:pPr>
      <w:r>
        <w:t>Tüm politika ve prosedürler yılda en az bir kez gözden geçirilir.</w:t>
      </w:r>
    </w:p>
    <w:p>
      <w:pPr>
        <w:spacing w:before="160" w:after="40"/>
      </w:pPr>
      <w:r>
        <w:rPr>
          <w:b/>
          <w:color w:val="7C9E0E"/>
          <w:sz w:val="24"/>
        </w:rPr>
        <w:t>5. İhlal ve Yaptırımlar</w:t>
      </w:r>
    </w:p>
    <w:p>
      <w:r>
        <w:t>Politikaya aykırı davranışlar disiplin süreci başlatılmasına ve hukuki yaptırımlara kadar varan sonuçlar doğurabilir.</w:t>
      </w:r>
    </w:p>
    <w:p>
      <w:pPr>
        <w:spacing w:before="160" w:after="40"/>
      </w:pPr>
      <w:r>
        <w:rPr>
          <w:b/>
          <w:color w:val="7C9E0E"/>
          <w:sz w:val="24"/>
        </w:rPr>
        <w:t>6. Gözden Geçirme</w:t>
      </w:r>
    </w:p>
    <w:p>
      <w:r>
        <w:t>Bu politika, yılda en az bir kez veya önemli değişikliklerde (mevzuat, organizasyon vb.) güncellenir.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