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VARLIK YÖNETİMİ POLİTİKASI</w:t>
            </w:r>
          </w:p>
          <w:p>
            <w:r>
              <w:rPr>
                <w:b w:val="0"/>
                <w:sz w:val="21"/>
              </w:rPr>
              <w:t>Kapsam: Donanım, yazılım, veri, personel ve hizmet varlıkları.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Tüm bilgi varlıklarını tanımlamak, sınıflandırmak, sahiplik atamak ve koruma seviyesini belirlemek.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Varlık Sahipleri: Varlığın envanterini tutar, doğru sınıflandırır ve güvenliğini sağlar.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Her varlığa benzersiz bir kimlik (ID) verilir.</w:t>
      </w:r>
    </w:p>
    <w:p>
      <w:pPr>
        <w:pStyle w:val="ListNumber"/>
      </w:pPr>
      <w:r>
        <w:t>Varlıklar; Donanım, Yazılım, Veri, Personel, Hizmet olarak tiplendirilir.</w:t>
      </w:r>
    </w:p>
    <w:p>
      <w:pPr>
        <w:pStyle w:val="ListNumber"/>
      </w:pPr>
      <w:r>
        <w:t>Gizlilik, Bütünlük ve Erişilebilirlik (G/B/E) etki seviyesi 1-3 arasında değerlendirilir.</w:t>
      </w:r>
    </w:p>
    <w:p>
      <w:pPr>
        <w:pStyle w:val="ListNumber"/>
      </w:pPr>
      <w:r>
        <w:t>Varlıklar, sınıflandırma politikasına göre etiketlenir (Gizli, Hizmete Özel, Kuruma Özel, Genel).</w:t>
      </w:r>
    </w:p>
    <w:p>
      <w:pPr>
        <w:pStyle w:val="ListNumber"/>
      </w:pPr>
      <w:r>
        <w:t>Envanter yılda en az bir kez güncellenir.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