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VARLIK ENVANTERI YÖNETIM PROSEDÜRÜ</w:t>
            </w:r>
          </w:p>
          <w:p>
            <w:r>
              <w:rPr>
                <w:b w:val="0"/>
                <w:sz w:val="21"/>
              </w:rPr>
              <w:t>Kapsam: Donanım, yazılım, veri, personel, hizmet ve bulut kaynakları.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Varlık Yönetimi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BG.PRS.03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bünyesindeki tüm bilgi varlıklarının tanımlanması, envanterlenmesi ve güncel tutulmasını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Donanım, yazılım, veri, personel, hizmet ve bulut kaynakları.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Varlık Sahipleri: Varlık envanterinden sorumludur.</w:t>
      </w:r>
    </w:p>
    <w:p>
      <w:r>
        <w:t>Sistem Yöneticisi: Teknik varlıkların (sunucu, ağ cihazları vb.) envanterini tutar.</w:t>
      </w:r>
    </w:p>
    <w:p>
      <w:r>
        <w:t>İK: Personel envanterini tutar.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Varlık Tanımlama</w:t>
      </w:r>
    </w:p>
    <w:p>
      <w:r>
        <w:t>Her varlık benzersiz bir ID ile etiketlenir.</w:t>
      </w:r>
    </w:p>
    <w:p>
      <w:r>
        <w:t>Varlık türü belirlenir:</w:t>
      </w:r>
    </w:p>
    <w:p>
      <w:r>
        <w:t>Donanım: Sunucu, switch, router, firewall, bilgisayar, telefon</w:t>
      </w:r>
    </w:p>
    <w:p>
      <w:r>
        <w:t>Yazılım: İşletim sistemi, uygulama, yönetim yazılımları</w:t>
      </w:r>
    </w:p>
    <w:p>
      <w:r>
        <w:t>Veri: Müşteri veritabanı, log kayıtları, konfigürasyon dosyaları</w:t>
      </w:r>
    </w:p>
    <w:p>
      <w:r>
        <w:t>Personel: Çalışanlar, stajyerler, sözleşmeliler</w:t>
      </w:r>
    </w:p>
    <w:p>
      <w:r>
        <w:t>Hizmet: ISP hizmetleri, bulut hizmetleri, DNS, e-posta</w:t>
      </w:r>
    </w:p>
    <w:p>
      <w:pPr>
        <w:spacing w:before="80"/>
      </w:pPr>
      <w:r>
        <w:rPr>
          <w:b/>
          <w:color w:val="7C9E0E"/>
          <w:sz w:val="22"/>
        </w:rPr>
        <w:t>4.2. Varlık Kaydı</w:t>
      </w:r>
    </w:p>
    <w:p>
      <w:r>
        <w:t>Her varlık için aşağıdaki bilgiler kaydedilir:</w:t>
      </w:r>
    </w:p>
    <w:p>
      <w:r>
        <w:t>Varlık ID</w:t>
      </w:r>
    </w:p>
    <w:p>
      <w:r>
        <w:t>Varlık Adı</w:t>
      </w:r>
    </w:p>
    <w:p>
      <w:r>
        <w:t>Tip</w:t>
      </w:r>
    </w:p>
    <w:p>
      <w:r>
        <w:t>Sahip / Sorumlu</w:t>
      </w:r>
    </w:p>
    <w:p>
      <w:r>
        <w:t>Konum (fiziksel/mantıksal)</w:t>
      </w:r>
    </w:p>
    <w:p>
      <w:r>
        <w:t>G/B/E (Gizlilik/Bütünlük/Erişilebilirlik) puanları</w:t>
      </w:r>
    </w:p>
    <w:p>
      <w:r>
        <w:t>Sınıflandırma seviyesi</w:t>
      </w:r>
    </w:p>
    <w:p>
      <w:pPr>
        <w:spacing w:before="80"/>
      </w:pPr>
      <w:r>
        <w:rPr>
          <w:b/>
          <w:color w:val="7C9E0E"/>
          <w:sz w:val="22"/>
        </w:rPr>
        <w:t>4.3. Envanter Güncelleme</w:t>
      </w:r>
    </w:p>
    <w:p>
      <w:r>
        <w:t>Yeni varlık ediniminde 30 gün içinde envantere eklenir.</w:t>
      </w:r>
    </w:p>
    <w:p>
      <w:r>
        <w:t>Varlık elden çıkarıldığında envanterden düşülür.</w:t>
      </w:r>
    </w:p>
    <w:p>
      <w:r>
        <w:t>Yılda bir kez tam envanter sayımı yapılır.</w:t>
      </w:r>
    </w:p>
    <w:p>
      <w:pPr>
        <w:spacing w:before="80"/>
      </w:pPr>
      <w:r>
        <w:rPr>
          <w:b/>
          <w:color w:val="7C9E0E"/>
          <w:sz w:val="22"/>
        </w:rPr>
        <w:t>4.4. Varlık Etiketleme</w:t>
      </w:r>
    </w:p>
    <w:p>
      <w:r>
        <w:t>Fiziksel varlıklar, barkod veya QR kod ile etiketlenir.</w:t>
      </w:r>
    </w:p>
    <w:p>
      <w:r>
        <w:t>Dijital varlıklar, sistem üzerinde etiketlenir.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Envanter listesi Varlık Yönetim Sistemi'nde tutulur.</w:t>
      </w:r>
    </w:p>
    <w:p>
      <w:r>
        <w:t>Envanter değişiklikleri Değişiklik Logu'na kaydedilir.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