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UYGULANABILIRLIK BILDIRGESI (SOA)</w:t>
            </w:r>
          </w:p>
          <w:p>
            <w:r>
              <w:rPr>
                <w:b w:val="0"/>
                <w:sz w:val="21"/>
              </w:rPr>
              <w:t>Kapsam: ISO/IEC 27001:2022 Ek-A 93 kontrolün değerlendirmesi</w:t>
            </w:r>
          </w:p>
        </w:tc>
      </w:tr>
    </w:tbl>
    <w:p>
      <w:r>
        <w:t>Hazırlayan: BGYS Temsilcisi   Onay: Üst Yönetim (YGG)   Revizyon: v1.0 – Nisan 2026</w:t>
      </w:r>
      <w:r>
        <w:rPr>
          <w:b w:val="0"/>
          <w:sz w:val="20"/>
        </w:rPr>
        <w:t>Hazırlayan: BGYS Temsilcisi   Onay: Üst Yönetim (YGG)   Revizyon: v1.0 – Nisan 2026</w:t>
      </w:r>
    </w:p>
    <w:p>
      <w:r>
        <w:t>Durumlar: Uygulanmaktadır / Kısmi / Planlanmaktadır / Hariç (gerekçe zorunlu).</w:t>
      </w:r>
      <w:r>
        <w:rPr>
          <w:b w:val="0"/>
          <w:sz w:val="20"/>
        </w:rPr>
        <w:t>Durumlar: Uygulanmaktadır / Kısmi / Planlanmaktadır / Hariç (gerekçe zorunlu).</w:t>
      </w:r>
    </w:p>
    <w:p>
      <w:pPr>
        <w:spacing w:before="160"/>
      </w:pPr>
      <w:r>
        <w:rPr>
          <w:b/>
          <w:color w:val="7C9E0E"/>
          <w:sz w:val="24"/>
        </w:rPr>
        <w:t>A.5 – Organizasyonel Kontroller (37)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0"/>
            <w:shd w:val="clear" w:color="auto" w:fill="F0F4E0"/>
          </w:tcPr>
          <w:p>
            <w:r/>
            <w:r>
              <w:rPr>
                <w:b/>
                <w:sz w:val="19"/>
              </w:rPr>
              <w:t>Kod</w:t>
            </w:r>
          </w:p>
        </w:tc>
        <w:tc>
          <w:tcPr>
            <w:tcW w:type="dxa" w:w="3600"/>
            <w:shd w:val="clear" w:color="auto" w:fill="F0F4E0"/>
          </w:tcPr>
          <w:p>
            <w:r/>
            <w:r>
              <w:rPr>
                <w:b/>
                <w:sz w:val="19"/>
              </w:rPr>
              <w:t>Kontrol Başlığı</w:t>
            </w:r>
          </w:p>
        </w:tc>
        <w:tc>
          <w:tcPr>
            <w:tcW w:type="dxa" w:w="1800"/>
            <w:shd w:val="clear" w:color="auto" w:fill="F0F4E0"/>
          </w:tcPr>
          <w:p>
            <w:r/>
            <w:r>
              <w:rPr>
                <w:b/>
                <w:sz w:val="19"/>
              </w:rPr>
              <w:t>Durum</w:t>
            </w:r>
          </w:p>
        </w:tc>
        <w:tc>
          <w:tcPr>
            <w:tcW w:type="dxa" w:w="3780"/>
            <w:shd w:val="clear" w:color="auto" w:fill="F0F4E0"/>
          </w:tcPr>
          <w:p>
            <w:r/>
            <w:r>
              <w:rPr>
                <w:b/>
                <w:sz w:val="19"/>
              </w:rPr>
              <w:t>Hariç Neden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Bilgi güvenliği politikaları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Bilgi güvenliği rolleri ve sorumluluklar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Görev ayrımı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Kısmi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3 kişilik ekipte tam ayrım mümkün değil, kritik işlemler iki kişiyle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Yönetim sorumlulukları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Yetkili makamlarla iletişim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Özel kuruluşlarla iletişim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Tehdit istihbaratı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Planlanmaktadır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2026 Q3'te SIEM ile uygulanacak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Proje yönetiminde bilgi güvenliği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Bilgi varlıkları envanteri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Kabul edilebilir kullanım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Varlıkların iadesi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Varlıkların sınıflandırılması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Varlıkların etiketlenmesi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Kısmi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Fiziksel etiketleme var, dijital kısmi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Bilgi transferi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Erişim kontrol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Kimlik yönetimi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Kimlik doğrulama bilgileri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Erişim hakları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A.5.19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Tedarikçi ilişkilerinde BG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Tedarikçi BG ele alınması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Tedarik zinciri BG yönetimi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Hariç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Doğrudan tedarik zinciri yok, 2 firma hizmet alınıyor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Tedarikçi hizmet izleme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Bulut hizmetleri BG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AWS kullanılıyor, güvenlik yapılandırıldı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Olay yönetimi planlama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Olay değerlendirme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Olaylara müdahale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Olaylardan öğrenme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Kanıt toplama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A.5.29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Kesintide BG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A.5.30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İş sürekliliği yönetimi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A.5.31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Yasal/düzenleyici gereklilikler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A.5.32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Fikri mülkiyet hakları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A.5.33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Kayıtların korunması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A.5.34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Mahremiyet ve KVKK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A.5.35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BG bağımsız gözden geçirme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A.5.36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Politika uyumluluğu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A.5.37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Belgeleme prosedürleri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b/>
          <w:color w:val="7C9E0E"/>
          <w:sz w:val="24"/>
        </w:rPr>
        <w:t>A.6 – Kişisel Kontroller (8)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0"/>
            <w:shd w:val="clear" w:color="auto" w:fill="F0F4E0"/>
          </w:tcPr>
          <w:p>
            <w:r/>
            <w:r>
              <w:rPr>
                <w:b/>
                <w:sz w:val="19"/>
              </w:rPr>
              <w:t>Kod</w:t>
            </w:r>
          </w:p>
        </w:tc>
        <w:tc>
          <w:tcPr>
            <w:tcW w:type="dxa" w:w="3600"/>
            <w:shd w:val="clear" w:color="auto" w:fill="F0F4E0"/>
          </w:tcPr>
          <w:p>
            <w:r/>
            <w:r>
              <w:rPr>
                <w:b/>
                <w:sz w:val="19"/>
              </w:rPr>
              <w:t>Kontrol Başlığı</w:t>
            </w:r>
          </w:p>
        </w:tc>
        <w:tc>
          <w:tcPr>
            <w:tcW w:type="dxa" w:w="1800"/>
            <w:shd w:val="clear" w:color="auto" w:fill="F0F4E0"/>
          </w:tcPr>
          <w:p>
            <w:r/>
            <w:r>
              <w:rPr>
                <w:b/>
                <w:sz w:val="19"/>
              </w:rPr>
              <w:t>Durum</w:t>
            </w:r>
          </w:p>
        </w:tc>
        <w:tc>
          <w:tcPr>
            <w:tcW w:type="dxa" w:w="3780"/>
            <w:shd w:val="clear" w:color="auto" w:fill="F0F4E0"/>
          </w:tcPr>
          <w:p>
            <w:r/>
            <w:r>
              <w:rPr>
                <w:b/>
                <w:sz w:val="19"/>
              </w:rPr>
              <w:t>Hariç Neden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A.6.1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Tarama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A.6.2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İstihdam koşulları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A.6.3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Farkındalık, eğitim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A.6.4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Disiplin süreci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A.6.5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Çıkış sonrası sorumluluklar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A.6.6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Gizlilik/ifşa etmeme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A.6.7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Uzaktan çalışma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A.6.8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Olay bildirimi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b/>
          <w:color w:val="7C9E0E"/>
          <w:sz w:val="24"/>
        </w:rPr>
        <w:t>A.7 – Fiziksel Kontroller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0"/>
            <w:shd w:val="clear" w:color="auto" w:fill="F0F4E0"/>
          </w:tcPr>
          <w:p>
            <w:r/>
            <w:r>
              <w:rPr>
                <w:b/>
                <w:sz w:val="19"/>
              </w:rPr>
              <w:t>Kod</w:t>
            </w:r>
          </w:p>
        </w:tc>
        <w:tc>
          <w:tcPr>
            <w:tcW w:type="dxa" w:w="3600"/>
            <w:shd w:val="clear" w:color="auto" w:fill="F0F4E0"/>
          </w:tcPr>
          <w:p>
            <w:r/>
            <w:r>
              <w:rPr>
                <w:b/>
                <w:sz w:val="19"/>
              </w:rPr>
              <w:t>Kontrol Başlığı</w:t>
            </w:r>
          </w:p>
        </w:tc>
        <w:tc>
          <w:tcPr>
            <w:tcW w:type="dxa" w:w="1800"/>
            <w:shd w:val="clear" w:color="auto" w:fill="F0F4E0"/>
          </w:tcPr>
          <w:p>
            <w:r/>
            <w:r>
              <w:rPr>
                <w:b/>
                <w:sz w:val="19"/>
              </w:rPr>
              <w:t>Durum</w:t>
            </w:r>
          </w:p>
        </w:tc>
        <w:tc>
          <w:tcPr>
            <w:tcW w:type="dxa" w:w="3780"/>
            <w:shd w:val="clear" w:color="auto" w:fill="F0F4E0"/>
          </w:tcPr>
          <w:p>
            <w:r/>
            <w:r>
              <w:rPr>
                <w:b/>
                <w:sz w:val="19"/>
              </w:rPr>
              <w:t>Hariç Neden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Fiziksel güvenlik çevresi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Fiziksel giriş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Ofis/oda/tesis güvenliği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Fiziksel güvenlik izleme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Fiziksel/çevresel tehdit koruması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Güvenli alanlarda çalışma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Masa başı/ekran temizliği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Kısmi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Çalışanlar bilgilendirildi, uyum kontrolleri sürüyor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Ekipman yerleşimi/korunması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Tesis dışı varlık güvenliği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A.7.10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Depolama ortamları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A.7.11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Yardımcı hizmetler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A.7.12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Kablo güvenliği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A.7.13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Ekipman bakımı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A.7.14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Varlık imha/yeniden kullanım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Planlanmaktadır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2026 Q3'te prosedür tamamlanacak</w:t>
            </w:r>
          </w:p>
        </w:tc>
      </w:tr>
    </w:tbl>
    <w:p>
      <w:pPr>
        <w:spacing w:before="160"/>
      </w:pPr>
      <w:r>
        <w:rPr>
          <w:b/>
          <w:color w:val="7C9E0E"/>
          <w:sz w:val="24"/>
        </w:rPr>
        <w:t>A.8 – Teknolojik Kontroller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0"/>
            <w:shd w:val="clear" w:color="auto" w:fill="F0F4E0"/>
          </w:tcPr>
          <w:p>
            <w:r/>
            <w:r>
              <w:rPr>
                <w:b/>
                <w:sz w:val="19"/>
              </w:rPr>
              <w:t>Kod</w:t>
            </w:r>
          </w:p>
        </w:tc>
        <w:tc>
          <w:tcPr>
            <w:tcW w:type="dxa" w:w="3600"/>
            <w:shd w:val="clear" w:color="auto" w:fill="F0F4E0"/>
          </w:tcPr>
          <w:p>
            <w:r/>
            <w:r>
              <w:rPr>
                <w:b/>
                <w:sz w:val="19"/>
              </w:rPr>
              <w:t>Kontrol Başlığı</w:t>
            </w:r>
          </w:p>
        </w:tc>
        <w:tc>
          <w:tcPr>
            <w:tcW w:type="dxa" w:w="1800"/>
            <w:shd w:val="clear" w:color="auto" w:fill="F0F4E0"/>
          </w:tcPr>
          <w:p>
            <w:r/>
            <w:r>
              <w:rPr>
                <w:b/>
                <w:sz w:val="19"/>
              </w:rPr>
              <w:t>Durum</w:t>
            </w:r>
          </w:p>
        </w:tc>
        <w:tc>
          <w:tcPr>
            <w:tcW w:type="dxa" w:w="3780"/>
            <w:shd w:val="clear" w:color="auto" w:fill="F0F4E0"/>
          </w:tcPr>
          <w:p>
            <w:r/>
            <w:r>
              <w:rPr>
                <w:b/>
                <w:sz w:val="19"/>
              </w:rPr>
              <w:t>Hariç Neden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Kullanıcı uç nokta cihazları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Ayrıcalıklı erişim hakları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Bilgi erişim kısıtlama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Bulut hizmetleri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Ağ güvenliği kontrolü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Ağ hizmetleri güvenliği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Ağ ayrımı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Ağ filtreleme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Ağ güvenliği yönetimi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Bilgi silme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Veri maskeleme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Planlanmaktadır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2026 Q3'te uygulanacak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Veri sızıntısı önleme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Planlanmaktadır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2026 Q4'te DLP ile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Yedekleme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Hata toleransı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Kısmi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Sunucu/switch redundant, firewall redundant değil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Oturum yönetimi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İzleme faaliyetleri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Saat senkronizasyonu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Zararlı yazılım koruması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A.8.19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Teknik zafiyet yönetimi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Sızma testleri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Planlanmaktadır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2026 Q3 yıllık planlandı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Olay tespit/izleme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Zafiyet giderme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Web filtreleme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Şifreleme kullanımı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Kısmi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VT şifrelendi, e-posta şifrelemesi devrede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A.8.25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Güvenli SDLC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Hariç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İç yazılım geliştirme yok, hazır çözümler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A.8.26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Uygulama güvenlik gereksinimleri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Hariç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İç yazılım geliştirme yok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A.8.27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Güvenli sistem mimarisi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A.8.28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Güvenli kodlama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Hariç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İç yazılım geliştirme yok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A.8.29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Geliştirme/kabul güvenlik testi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Hariç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İç yazılım geliştirme yok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A.8.30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Harici yazılım kullanımı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A.8.31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Test verileri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Hariç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Test verisi yok, üretim verisi kullanılmıyor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A.8.32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Değişiklik yönetimi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A.8.33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Yetkisiz yazılım engelleme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Kısmi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Policy bazlı bloklama devam ediyor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A.8.34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Güvenlik güncelleme yönetimi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  <w:tc>
          <w:tcPr>
            <w:tcW w:type="dxa" w:w="3780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b/>
          <w:color w:val="7C9E0E"/>
          <w:sz w:val="24"/>
        </w:rPr>
        <w:t>SoA – Risk Entegrasyonu (Çapraz Kontrol)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00"/>
            <w:shd w:val="clear" w:color="auto" w:fill="F0F4E0"/>
          </w:tcPr>
          <w:p>
            <w:r/>
            <w:r>
              <w:rPr>
                <w:b/>
                <w:sz w:val="19"/>
              </w:rPr>
              <w:t>Risk ID</w:t>
            </w:r>
          </w:p>
        </w:tc>
        <w:tc>
          <w:tcPr>
            <w:tcW w:type="dxa" w:w="1800"/>
            <w:shd w:val="clear" w:color="auto" w:fill="F0F4E0"/>
          </w:tcPr>
          <w:p>
            <w:r/>
            <w:r>
              <w:rPr>
                <w:b/>
                <w:sz w:val="19"/>
              </w:rPr>
              <w:t>Risk Seviyesi</w:t>
            </w:r>
          </w:p>
        </w:tc>
        <w:tc>
          <w:tcPr>
            <w:tcW w:type="dxa" w:w="4200"/>
            <w:shd w:val="clear" w:color="auto" w:fill="F0F4E0"/>
          </w:tcPr>
          <w:p>
            <w:r/>
            <w:r>
              <w:rPr>
                <w:b/>
                <w:sz w:val="19"/>
              </w:rPr>
              <w:t>İlgili SoA Kontrolü</w:t>
            </w:r>
          </w:p>
        </w:tc>
        <w:tc>
          <w:tcPr>
            <w:tcW w:type="dxa" w:w="3080"/>
            <w:shd w:val="clear" w:color="auto" w:fill="F0F4E0"/>
          </w:tcPr>
          <w:p>
            <w:r/>
            <w:r>
              <w:rPr>
                <w:b/>
                <w:sz w:val="19"/>
              </w:rPr>
              <w:t>SoA Durumu</w:t>
            </w:r>
          </w:p>
        </w:tc>
      </w:tr>
      <w:tr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RSK-001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Yüksek (20)</w:t>
            </w:r>
          </w:p>
        </w:tc>
        <w:tc>
          <w:tcPr>
            <w:tcW w:type="dxa" w:w="4200"/>
          </w:tcPr>
          <w:p>
            <w:r/>
            <w:r>
              <w:rPr>
                <w:b w:val="0"/>
                <w:sz w:val="19"/>
              </w:rPr>
              <w:t>A.5.17 - Kimlik doğrulama bilgileri</w:t>
            </w:r>
          </w:p>
        </w:tc>
        <w:tc>
          <w:tcPr>
            <w:tcW w:type="dxa" w:w="308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</w:tr>
      <w:tr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RSK-002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Yüksek (15)</w:t>
            </w:r>
          </w:p>
        </w:tc>
        <w:tc>
          <w:tcPr>
            <w:tcW w:type="dxa" w:w="4200"/>
          </w:tcPr>
          <w:p>
            <w:r/>
            <w:r>
              <w:rPr>
                <w:b w:val="0"/>
                <w:sz w:val="19"/>
              </w:rPr>
              <w:t>A.8.24 - Şifreleme kullanımı</w:t>
            </w:r>
          </w:p>
        </w:tc>
        <w:tc>
          <w:tcPr>
            <w:tcW w:type="dxa" w:w="3080"/>
          </w:tcPr>
          <w:p>
            <w:r/>
            <w:r>
              <w:rPr>
                <w:b w:val="0"/>
                <w:sz w:val="19"/>
              </w:rPr>
              <w:t>Kısmi</w:t>
            </w:r>
          </w:p>
        </w:tc>
      </w:tr>
      <w:tr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RSK-003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Orta (12)</w:t>
            </w:r>
          </w:p>
        </w:tc>
        <w:tc>
          <w:tcPr>
            <w:tcW w:type="dxa" w:w="4200"/>
          </w:tcPr>
          <w:p>
            <w:r/>
            <w:r>
              <w:rPr>
                <w:b w:val="0"/>
                <w:sz w:val="19"/>
              </w:rPr>
              <w:t>A.8.13 - Yedekleme</w:t>
            </w:r>
          </w:p>
        </w:tc>
        <w:tc>
          <w:tcPr>
            <w:tcW w:type="dxa" w:w="3080"/>
          </w:tcPr>
          <w:p>
            <w:r/>
            <w:r>
              <w:rPr>
                <w:b w:val="0"/>
                <w:sz w:val="19"/>
              </w:rPr>
              <w:t>Uygulanmaktadır</w:t>
            </w:r>
          </w:p>
        </w:tc>
      </w:tr>
      <w:tr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RSK-005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Yüksek (15)</w:t>
            </w:r>
          </w:p>
        </w:tc>
        <w:tc>
          <w:tcPr>
            <w:tcW w:type="dxa" w:w="4200"/>
          </w:tcPr>
          <w:p>
            <w:r/>
            <w:r>
              <w:rPr>
                <w:b w:val="0"/>
                <w:sz w:val="19"/>
              </w:rPr>
              <w:t>A.8.14 - Hata toleransı</w:t>
            </w:r>
          </w:p>
        </w:tc>
        <w:tc>
          <w:tcPr>
            <w:tcW w:type="dxa" w:w="3080"/>
          </w:tcPr>
          <w:p>
            <w:r/>
            <w:r>
              <w:rPr>
                <w:b w:val="0"/>
                <w:sz w:val="19"/>
              </w:rPr>
              <w:t>Kısmi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