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ayout w:type="fixed"/>
        <w:tblLook w:firstColumn="1" w:firstRow="1" w:lastColumn="0" w:lastRow="0" w:noHBand="0" w:noVBand="1" w:val="04A0"/>
      </w:tblPr>
      <w:tblGrid>
        <w:gridCol w:w="2856"/>
        <w:gridCol w:w="7224"/>
      </w:tblGrid>
      <w:tr>
        <w:tc>
          <w:tcPr>
            <w:tcW w:type="dxa" w:w="2856"/>
            <w:tcBorders>
              <w:right w:val="single" w:sz="12" w:space="0" w:color="7C9E0E"/>
            </w:tcBorders>
            <w:shd w:val="clear" w:color="auto" w:fill="FFFFFF"/>
          </w:tcPr>
          <w:p>
            <w:pPr>
              <w:jc w:val="center"/>
            </w:pPr>
            <w:r>
              <w:rPr>
                <w:b/>
                <w:color w:val="7C9E0E"/>
                <w:sz w:val="22"/>
              </w:rPr>
              <w:t>LOGO</w:t>
            </w:r>
          </w:p>
        </w:tc>
        <w:tc>
          <w:tcPr>
            <w:tcW w:type="dxa" w:w="7224"/>
            <w:tcBorders>
              <w:left w:val="single" w:sz="12" w:space="0" w:color="7C9E0E"/>
            </w:tcBorders>
            <w:shd w:val="clear" w:color="auto" w:fill="FFFFFF"/>
          </w:tcPr>
          <w:p>
            <w:r>
              <w:rPr>
                <w:b/>
                <w:sz w:val="26"/>
              </w:rPr>
              <w:t>{{Firma1_Unvan}} / {{Firma2_Unvan}}</w:t>
            </w:r>
          </w:p>
          <w:p>
            <w:r>
              <w:rPr>
                <w:b w:val="0"/>
                <w:sz w:val="21"/>
              </w:rPr>
              <w:t>{{Firma1_Adres}} / {{Firma2_Adres}}</w:t>
            </w:r>
          </w:p>
          <w:p>
            <w:r>
              <w:rPr>
                <w:b/>
                <w:color w:val="7C9E0E"/>
                <w:sz w:val="25"/>
              </w:rPr>
              <w:t>GIZLILIK VE BILGI GÜVENLIĞI SÖZLEŞMESI</w:t>
            </w:r>
          </w:p>
          <w:p>
            <w:r>
              <w:rPr>
                <w:b w:val="0"/>
                <w:sz w:val="21"/>
              </w:rPr>
              <w:t>Kapsam: İki taraf arası gizlilik ve ifşa etmeme</w:t>
            </w:r>
          </w:p>
        </w:tc>
      </w:tr>
    </w:tbl>
    <w:p/>
    <w:p>
      <w:r>
        <w:rPr>
          <w:b w:val="0"/>
          <w:sz w:val="21"/>
        </w:rPr>
        <w:t>Sözleşme No: {{Sözleşme_No}}</w:t>
      </w:r>
    </w:p>
    <w:p>
      <w:r>
        <w:rPr>
          <w:b w:val="0"/>
          <w:sz w:val="21"/>
        </w:rPr>
        <w:t>Tarih: {{İmza_Tarihi}}</w:t>
      </w:r>
    </w:p>
    <w:p>
      <w:pPr>
        <w:spacing w:before="160"/>
      </w:pPr>
      <w:r>
        <w:rPr>
          <w:b/>
          <w:color w:val="7C9E0E"/>
          <w:sz w:val="24"/>
        </w:rPr>
        <w:t>1. SÖZLEŞMENİN TARAFLARI VE YÜRÜRLÜK TARİHİ</w:t>
      </w:r>
    </w:p>
    <w:p>
      <w:r>
        <w:rPr>
          <w:b w:val="0"/>
          <w:sz w:val="21"/>
        </w:rPr>
        <w:t>İşbu sözleşme, {{Firma1_Unvan}} (Bundan böyle "BİLGİ SAHİBİ" olarak anılacaktır.) ile {{Firma2_Unvan}} (Bundan böyle "BİLGİ ALAN" olarak anılacaktır) arasında {{İmza_Tarihi}} tarihinde yapılmış ve yürürlüğe girmiştir.</w:t>
      </w:r>
    </w:p>
    <w:p>
      <w:r>
        <w:rPr>
          <w:b w:val="0"/>
          <w:sz w:val="21"/>
        </w:rPr>
        <w:t>BİLGİ SAHİBİ:</w:t>
      </w:r>
    </w:p>
    <w:p>
      <w:r>
        <w:rPr>
          <w:b w:val="0"/>
          <w:sz w:val="21"/>
        </w:rPr>
        <w:t>Unvan: {{Firma1_Unvan}}</w:t>
      </w:r>
    </w:p>
    <w:p>
      <w:r>
        <w:rPr>
          <w:b w:val="0"/>
          <w:sz w:val="21"/>
        </w:rPr>
        <w:t>Adres: {{Firma1_Adres}}</w:t>
      </w:r>
    </w:p>
    <w:p>
      <w:r>
        <w:rPr>
          <w:b w:val="0"/>
          <w:sz w:val="21"/>
        </w:rPr>
        <w:t>Vergi Dairesi/No: {{Firma1_Vergi}}</w:t>
      </w:r>
    </w:p>
    <w:p>
      <w:r>
        <w:rPr>
          <w:b w:val="0"/>
          <w:sz w:val="21"/>
        </w:rPr>
        <w:t>Yetkili: {{Firma1_Yetkili}}</w:t>
      </w:r>
    </w:p>
    <w:p>
      <w:r>
        <w:rPr>
          <w:b w:val="0"/>
          <w:sz w:val="21"/>
        </w:rPr>
        <w:t>Telefon: {{Firma1_Telefon}}</w:t>
      </w:r>
    </w:p>
    <w:p>
      <w:r>
        <w:rPr>
          <w:b w:val="0"/>
          <w:sz w:val="21"/>
        </w:rPr>
        <w:t>E-posta: {{Firma1_Email}}</w:t>
      </w:r>
    </w:p>
    <w:p>
      <w:r>
        <w:rPr>
          <w:b w:val="0"/>
          <w:sz w:val="21"/>
        </w:rPr>
        <w:t>BİLGİ ALAN:</w:t>
      </w:r>
    </w:p>
    <w:p>
      <w:r>
        <w:rPr>
          <w:b w:val="0"/>
          <w:sz w:val="21"/>
        </w:rPr>
        <w:t>Unvan: {{Firma2_Unvan}}</w:t>
      </w:r>
    </w:p>
    <w:p>
      <w:r>
        <w:rPr>
          <w:b w:val="0"/>
          <w:sz w:val="21"/>
        </w:rPr>
        <w:t>Adres: {{Firma2_Adres}}</w:t>
      </w:r>
    </w:p>
    <w:p>
      <w:r>
        <w:rPr>
          <w:b w:val="0"/>
          <w:sz w:val="21"/>
        </w:rPr>
        <w:t>Vergi Dairesi/No: {{Firma2_Vergi}}</w:t>
      </w:r>
    </w:p>
    <w:p>
      <w:r>
        <w:rPr>
          <w:b w:val="0"/>
          <w:sz w:val="21"/>
        </w:rPr>
        <w:t>Yetkili: {{Firma2_Yetkili}}</w:t>
      </w:r>
    </w:p>
    <w:p>
      <w:r>
        <w:rPr>
          <w:b w:val="0"/>
          <w:sz w:val="21"/>
        </w:rPr>
        <w:t>Telefon: {{Firma2_Telefon}}</w:t>
      </w:r>
    </w:p>
    <w:p>
      <w:r>
        <w:rPr>
          <w:b w:val="0"/>
          <w:sz w:val="21"/>
        </w:rPr>
        <w:t>E-posta: {{Firma2_Email}}</w:t>
      </w:r>
    </w:p>
    <w:p>
      <w:pPr>
        <w:spacing w:before="160"/>
      </w:pPr>
      <w:r>
        <w:rPr>
          <w:b/>
          <w:color w:val="7C9E0E"/>
          <w:sz w:val="24"/>
        </w:rPr>
        <w:t>2. SÖZLEŞMENİN KONUSU</w:t>
      </w:r>
    </w:p>
    <w:p>
      <w:r>
        <w:rPr>
          <w:b w:val="0"/>
          <w:sz w:val="21"/>
        </w:rPr>
        <w:t>Taraflar, aralarındaki {{İlişki_Türü}} (ticari, akademik, hizmet alımı vb.) ilişkinin bulunması ve bu ilişkinin niteliği gereği birbirleriyle yazılı veya sözlü olarak bilgi alışverişinde bulunmalarından dolayı, işbu gizlilik ve ifşa etmeme sözleşmesinin imzalanması hususunda anlaşmaya varmışlardır.</w:t>
      </w:r>
    </w:p>
    <w:p>
      <w:pPr>
        <w:spacing w:before="160"/>
      </w:pPr>
      <w:r>
        <w:rPr>
          <w:b/>
          <w:color w:val="7C9E0E"/>
          <w:sz w:val="24"/>
        </w:rPr>
        <w:t>3. GİZLİ BİLGİNİN TANIMI</w:t>
      </w:r>
    </w:p>
    <w:p>
      <w:r>
        <w:rPr>
          <w:b w:val="0"/>
          <w:sz w:val="21"/>
        </w:rPr>
        <w:t>Taraflardan birinin işveren temsilcileri, işçileri ya da alt çalışanlarınca diğer tarafın işveren temsilcileri, işçileri ya da alt çalışanlarına açıklanan, sözlü ve/veya yazılı, üzerinde "GİZLİDİR" ibaresi bulunma şartı olmaksızın yasal koruma altındaki her türlü bilgi; yasal korumaya konu olmasa bile aralarındaki ticari ilişki esnasında öğrenilen her türlü ticari, mali ve teknik nitelikli bilgiler "Gizli Bilgi" olarak kabul edilir.</w:t>
      </w:r>
    </w:p>
    <w:p>
      <w:pPr>
        <w:spacing w:before="160"/>
      </w:pPr>
      <w:r>
        <w:rPr>
          <w:b/>
          <w:color w:val="7C9E0E"/>
          <w:sz w:val="24"/>
        </w:rPr>
        <w:t>4. GİZLİ BİLGİ TANIMINA GİRMEYEN BİLGİLER</w:t>
      </w:r>
    </w:p>
    <w:p>
      <w:r>
        <w:rPr>
          <w:b w:val="0"/>
          <w:sz w:val="21"/>
        </w:rPr>
        <w:t>Tarafların kamuya mal olmuş bilgileri ve yürürlükteki yasalar ya da verilmiş bir mahkeme kararı gereğince açıklanması gereken bilgiler "Gizli Bilgi" kapsamına girmez. Bilgiyi alan taraf, (i) kamunun bilgisinde olan, (ii) ifşadan önce zaten bildiği, (iii) bağımsız kaynaktan edindiği, (iv) bağımsız geliştirdiği, (v) yazılı onay ile kamuya açıklanan bilgilerin "Gizli Bilgi" olmadığını ispat edemediği sürece bilgi "Gizli Bilgi" sayılır.</w:t>
      </w:r>
    </w:p>
    <w:p>
      <w:pPr>
        <w:spacing w:before="160"/>
      </w:pPr>
      <w:r>
        <w:rPr>
          <w:b/>
          <w:color w:val="7C9E0E"/>
          <w:sz w:val="24"/>
        </w:rPr>
        <w:t>5. GİZLİ BİLGİLER ÜZERİNDEKİ HAK SAHİPLİĞİ</w:t>
      </w:r>
    </w:p>
    <w:p>
      <w:r>
        <w:rPr>
          <w:b w:val="0"/>
          <w:sz w:val="21"/>
        </w:rPr>
        <w:t>5.1 Taraflar, kendilerine ait Gizli Bilgiler üzerindeki tüm haklarını muhafaza edecektir.</w:t>
      </w:r>
    </w:p>
    <w:p>
      <w:r>
        <w:rPr>
          <w:b w:val="0"/>
          <w:sz w:val="21"/>
        </w:rPr>
        <w:t>5.2 İşbu Sözleşme hiçbir surette Gizli Bilgiler üzerinde hak/lisans vermez, ortaklık oluşturmaz.</w:t>
      </w:r>
    </w:p>
    <w:p>
      <w:r>
        <w:rPr>
          <w:b w:val="0"/>
          <w:sz w:val="21"/>
        </w:rPr>
        <w:t>5.3 Tüm gizlilik yükümlülükleri sözleşmenin feshinden sonra da süresiz olarak yürürlükte kalır.</w:t>
      </w:r>
    </w:p>
    <w:p>
      <w:r>
        <w:rPr>
          <w:b w:val="0"/>
          <w:sz w:val="21"/>
        </w:rPr>
        <w:t>5.4 Bilgiyi Alan Taraf, Gizli Bilgiyi yalnızca yetkili makam kararı ile ve makul ihbar şartıyla ifşa edebilir.</w:t>
      </w:r>
    </w:p>
    <w:p>
      <w:pPr>
        <w:spacing w:before="160"/>
      </w:pPr>
      <w:r>
        <w:rPr>
          <w:b/>
          <w:color w:val="7C9E0E"/>
          <w:sz w:val="24"/>
        </w:rPr>
        <w:t>6. BİLGİ GÜVENLİĞİ YÜKÜMLÜLÜKLERİ</w:t>
      </w:r>
    </w:p>
    <w:p>
      <w:r>
        <w:rPr>
          <w:b w:val="0"/>
          <w:sz w:val="21"/>
        </w:rPr>
        <w:t>6.1 Taraflar gizli bilgileri birbirlerine yalnızca ticari ilişkinin gerektirdiği ölçüde açıklar.</w:t>
      </w:r>
    </w:p>
    <w:p>
      <w:r>
        <w:rPr>
          <w:b w:val="0"/>
          <w:sz w:val="21"/>
        </w:rPr>
        <w:t>6.2 Taraflar gizli bilgiyi 3. kişi/kuruma vermez, ifşa etmez, amaç dışı kullanmaz.</w:t>
      </w:r>
    </w:p>
    <w:p>
      <w:r>
        <w:rPr>
          <w:b w:val="0"/>
          <w:sz w:val="21"/>
        </w:rPr>
        <w:t>6.3 Taraflar kendi gizli bilgilerine gösterdikleri özeni karşı taraf bilgisinde de gösterir.</w:t>
      </w:r>
    </w:p>
    <w:p>
      <w:r>
        <w:rPr>
          <w:b w:val="0"/>
          <w:sz w:val="21"/>
        </w:rPr>
        <w:t>6.4 Taraflar alt çalışanlarını bilgi güvenliği gerekliliklerine uydurmakla ve denetlemekle yükümlüdür.</w:t>
      </w:r>
    </w:p>
    <w:p>
      <w:r>
        <w:rPr>
          <w:b w:val="0"/>
          <w:sz w:val="21"/>
        </w:rPr>
        <w:t>6.5 Gizli bilgi yalnızca işi gereği öğrenmesi gereken kişilere ve uyarı ile verilir.</w:t>
      </w:r>
    </w:p>
    <w:p>
      <w:pPr>
        <w:spacing w:before="160"/>
      </w:pPr>
      <w:r>
        <w:rPr>
          <w:b/>
          <w:color w:val="7C9E0E"/>
          <w:sz w:val="24"/>
        </w:rPr>
        <w:t>7. ISO 27001 UYUM YÜKÜMLÜLÜKLERİ</w:t>
      </w:r>
    </w:p>
    <w:p>
      <w:r>
        <w:rPr>
          <w:b w:val="0"/>
          <w:sz w:val="21"/>
        </w:rPr>
        <w:t>7.1 Taraflar, ISO/IEC 27001:2022 Bilgi Güvenliği Yönetim Sistemi gereksinimlerine uygun hareket eder.</w:t>
      </w:r>
    </w:p>
    <w:p>
      <w:r>
        <w:rPr>
          <w:b w:val="0"/>
          <w:sz w:val="21"/>
        </w:rPr>
        <w:t>7.2 Bilgi Güvenliği: bilgi varlıklarının gizlilik, bütünlük ve kullanılabilirliğinin korunmasıdır.</w:t>
      </w:r>
    </w:p>
    <w:p>
      <w:r>
        <w:rPr>
          <w:b w:val="0"/>
          <w:sz w:val="21"/>
        </w:rPr>
        <w:t>7.3 Taraflar; yetkisiz erişimi engeller, bütünlüğü sağlar, erişilebilirliği temin eder.</w:t>
      </w:r>
    </w:p>
    <w:p>
      <w:r>
        <w:rPr>
          <w:b w:val="0"/>
          <w:sz w:val="21"/>
        </w:rPr>
        <w:t>7.4 Taraflar asgari olarak; Erişim Kontrolü, Şifreleme, Log Kaydı, Güvenlik Farkındalığı, Zafiyet Yönetimi, Olay Müdahale kontrollerini uygular.</w:t>
      </w:r>
    </w:p>
    <w:p>
      <w:r>
        <w:rPr>
          <w:b w:val="0"/>
          <w:sz w:val="21"/>
        </w:rPr>
        <w:t>7.5 Gizli Bilgiler en az kendi bilgilerini korudukları seviyede, ISO 27001:2022 Ek-A'ya uygun korunur.</w:t>
      </w:r>
    </w:p>
    <w:p>
      <w:pPr>
        <w:spacing w:before="160"/>
      </w:pPr>
      <w:r>
        <w:rPr>
          <w:b/>
          <w:color w:val="7C9E0E"/>
          <w:sz w:val="24"/>
        </w:rPr>
        <w:t>8. KİŞİSEL VERİ KORUMA YÜKÜMLÜLÜKLERİ (KVKK)</w:t>
      </w:r>
    </w:p>
    <w:p>
      <w:r>
        <w:rPr>
          <w:b w:val="0"/>
          <w:sz w:val="21"/>
        </w:rPr>
        <w:t>8.1 Taraflar, paylaşılan kişisel verileri yalnızca hizmet amacıyla ve KVKK'ya uygun işler.</w:t>
      </w:r>
    </w:p>
    <w:p>
      <w:r>
        <w:rPr>
          <w:b w:val="0"/>
          <w:sz w:val="21"/>
        </w:rPr>
        <w:t>8.2 Taraflar kişisel verilerin korunması için azami özen gösterir.</w:t>
      </w:r>
    </w:p>
    <w:p>
      <w:r>
        <w:rPr>
          <w:b w:val="0"/>
          <w:sz w:val="21"/>
        </w:rPr>
        <w:t>8.3 Taraflar verileri 3. kişilerle paylaşmaz, sözleşme amacıyla sınırlı kullanır, sona ermede siler/anonimleştirir.</w:t>
      </w:r>
    </w:p>
    <w:p>
      <w:r>
        <w:rPr>
          <w:b w:val="0"/>
          <w:sz w:val="21"/>
        </w:rPr>
        <w:t>8.4 Yetkisiz işleme nedeniyle doğan zararı derhal tazmin eder.</w:t>
      </w:r>
    </w:p>
    <w:p>
      <w:pPr>
        <w:spacing w:before="160"/>
      </w:pPr>
      <w:r>
        <w:rPr>
          <w:b/>
          <w:color w:val="7C9E0E"/>
          <w:sz w:val="24"/>
        </w:rPr>
        <w:t>9. SIRLAMA VE KORUMA YÜKÜMLÜLÜĞÜ</w:t>
      </w:r>
    </w:p>
    <w:p>
      <w:r>
        <w:rPr>
          <w:b w:val="0"/>
          <w:sz w:val="21"/>
        </w:rPr>
        <w:t>9.1 Alınan gizli bilgiler kesinlikle gizli tutulur, sır saklama yükümlülüğü altındaki çalışanlara verilir.</w:t>
      </w:r>
    </w:p>
    <w:p>
      <w:r>
        <w:rPr>
          <w:b w:val="0"/>
          <w:sz w:val="21"/>
        </w:rPr>
        <w:t>9.2 Alıcı bilgileri yalnızca kendi iş süreçlerinde ve sözleşme amaçları doğrultusunda kullanır.</w:t>
      </w:r>
    </w:p>
    <w:p>
      <w:r>
        <w:rPr>
          <w:b w:val="0"/>
          <w:sz w:val="21"/>
        </w:rPr>
        <w:t>9.3 Bilgi yalnızca üçüncü kişilere açıklanmak zorunda ise, onlar da aynı yükümlülüğe sokulur.</w:t>
      </w:r>
    </w:p>
    <w:p>
      <w:r>
        <w:rPr>
          <w:b w:val="0"/>
          <w:sz w:val="21"/>
        </w:rPr>
        <w:t>9.4 Bu maddeki yükümlülükler bağlı ortaklıklar, alt yükleniciler ve çalışanlar tarafından uygulanır.</w:t>
      </w:r>
    </w:p>
    <w:p>
      <w:pPr>
        <w:spacing w:before="160"/>
      </w:pPr>
      <w:r>
        <w:rPr>
          <w:b/>
          <w:color w:val="7C9E0E"/>
          <w:sz w:val="24"/>
        </w:rPr>
        <w:t>10. GİZLİ BİLGİLERİN İADESİ VE İMHASI</w:t>
      </w:r>
    </w:p>
    <w:p>
      <w:r>
        <w:rPr>
          <w:b w:val="0"/>
          <w:sz w:val="21"/>
        </w:rPr>
        <w:t>10.1 Gizli Bilgilerin tüm kopyaları en geç 10 iş günü içinde iade edilir veya imha edilir.</w:t>
      </w:r>
    </w:p>
    <w:p>
      <w:r>
        <w:rPr>
          <w:b w:val="0"/>
          <w:sz w:val="21"/>
        </w:rPr>
        <w:t>10.2 İmha geri dönülemez şekilde yapılır ve İmha Tutanağı ile belgelenir.</w:t>
      </w:r>
    </w:p>
    <w:p>
      <w:r>
        <w:rPr>
          <w:b w:val="0"/>
          <w:sz w:val="21"/>
        </w:rPr>
        <w:t>10.3 Yükümlülük yerine getirilmezse tüm doğrudan/dolaylı zarar karşılanır.</w:t>
      </w:r>
    </w:p>
    <w:p>
      <w:pPr>
        <w:spacing w:before="160"/>
      </w:pPr>
      <w:r>
        <w:rPr>
          <w:b/>
          <w:color w:val="7C9E0E"/>
          <w:sz w:val="24"/>
        </w:rPr>
        <w:t>11. AYDINLATMA YÜKÜMLÜLÜĞÜ</w:t>
      </w:r>
    </w:p>
    <w:p>
      <w:r>
        <w:rPr>
          <w:b w:val="0"/>
          <w:sz w:val="21"/>
        </w:rPr>
        <w:t>11.1 Gizli Bilgilerin kaybı/çalınması/yetkisiz erişiminde en geç 24 saat içinde bilgilendirme yapılır.</w:t>
      </w:r>
    </w:p>
    <w:p>
      <w:r>
        <w:rPr>
          <w:b w:val="0"/>
          <w:sz w:val="21"/>
        </w:rPr>
        <w:t>11.2 Yetkisiz ifşa durumunda Bilgi Sahibi derhal bilgilendirilir ve önlem alınır.</w:t>
      </w:r>
    </w:p>
    <w:p>
      <w:pPr>
        <w:spacing w:before="160"/>
      </w:pPr>
      <w:r>
        <w:rPr>
          <w:b/>
          <w:color w:val="7C9E0E"/>
          <w:sz w:val="24"/>
        </w:rPr>
        <w:t>12. SÖZLEŞMENİN İHLALİ VE YAPTIRIMLAR</w:t>
      </w:r>
    </w:p>
    <w:p>
      <w:r>
        <w:rPr>
          <w:b w:val="0"/>
          <w:sz w:val="21"/>
        </w:rPr>
        <w:t>12.1 İhlal eden Taraf, ilk yazılı talepte tüm doğrudan/dolaylı zararı, avukatlık ve yargılama giderlerini derhal karşılar.</w:t>
      </w:r>
    </w:p>
    <w:p>
      <w:r>
        <w:rPr>
          <w:b w:val="0"/>
          <w:sz w:val="21"/>
        </w:rPr>
        <w:t>12.2 Taraflar ihlalde menfaatinin tamiri imkânsız zarara uğrayacağını kabul eder.</w:t>
      </w:r>
    </w:p>
    <w:p>
      <w:pPr>
        <w:spacing w:before="160"/>
      </w:pPr>
      <w:r>
        <w:rPr>
          <w:b/>
          <w:color w:val="7C9E0E"/>
          <w:sz w:val="24"/>
        </w:rPr>
        <w:t>13. SÖZLEŞMENİN SÜRESİ VE FESHİ</w:t>
      </w:r>
    </w:p>
    <w:p>
      <w:r>
        <w:rPr>
          <w:b w:val="0"/>
          <w:sz w:val="21"/>
        </w:rPr>
        <w:t>13.1 Sözleşme imza tarihinden itibaren süresizdir.</w:t>
      </w:r>
    </w:p>
    <w:p>
      <w:r>
        <w:rPr>
          <w:b w:val="0"/>
          <w:sz w:val="21"/>
        </w:rPr>
        <w:t>13.2 Koşullara uymayan Taraf sözleşmeyi tek taraflı feshedebilir.</w:t>
      </w:r>
    </w:p>
    <w:p>
      <w:r>
        <w:rPr>
          <w:b w:val="0"/>
          <w:sz w:val="21"/>
        </w:rPr>
        <w:t>13.3 Ticari ilişki sona erse dahi gizlilik yükümlülüğü süresiz devam eder.</w:t>
      </w:r>
    </w:p>
    <w:p>
      <w:pPr>
        <w:spacing w:before="160"/>
      </w:pPr>
      <w:r>
        <w:rPr>
          <w:b/>
          <w:color w:val="7C9E0E"/>
          <w:sz w:val="24"/>
        </w:rPr>
        <w:t>14. DEVRİNİN YASAKLANMASI VE YAN HAKLAR</w:t>
      </w:r>
    </w:p>
    <w:p>
      <w:r>
        <w:rPr>
          <w:b w:val="0"/>
          <w:sz w:val="21"/>
        </w:rPr>
        <w:t>14.1 Taraflar hak/yükümlülüklerini yazılı muvafakat olmaksızın devredemez.</w:t>
      </w:r>
    </w:p>
    <w:p>
      <w:r>
        <w:rPr>
          <w:b w:val="0"/>
          <w:sz w:val="21"/>
        </w:rPr>
        <w:t>14.2 Hakkın kullanılmaması feragat sayılmaz.</w:t>
      </w:r>
    </w:p>
    <w:p>
      <w:pPr>
        <w:spacing w:before="160"/>
      </w:pPr>
      <w:r>
        <w:rPr>
          <w:b/>
          <w:color w:val="7C9E0E"/>
          <w:sz w:val="24"/>
        </w:rPr>
        <w:t>15. BİLDİRİMLER</w:t>
      </w:r>
    </w:p>
    <w:p>
      <w:r>
        <w:rPr>
          <w:b w:val="0"/>
          <w:sz w:val="21"/>
        </w:rPr>
        <w:t>Tüm bildirimler sözleşmedeki adreslere noter veya taahhütlü posta ile yapılır.</w:t>
      </w:r>
    </w:p>
    <w:p>
      <w:pPr>
        <w:spacing w:before="160"/>
      </w:pPr>
      <w:r>
        <w:rPr>
          <w:b/>
          <w:color w:val="7C9E0E"/>
          <w:sz w:val="24"/>
        </w:rPr>
        <w:t>16. UYGULANACAK HUKUK VE YETKİLİ MAHKEME</w:t>
      </w:r>
    </w:p>
    <w:p>
      <w:r>
        <w:rPr>
          <w:b w:val="0"/>
          <w:sz w:val="21"/>
        </w:rPr>
        <w:t>İşbu sözleşmede {{Yetkili_Mahkeme}} mahkemeleri ve icra daireleri yetkilidir, Türk hukuku uygulanır.</w:t>
      </w:r>
    </w:p>
    <w:p>
      <w:pPr>
        <w:spacing w:before="160"/>
      </w:pPr>
      <w:r>
        <w:rPr>
          <w:b/>
          <w:color w:val="7C9E0E"/>
          <w:sz w:val="24"/>
        </w:rPr>
        <w:t>17. SÖZLEŞME DEĞİŞİKLİĞİ</w:t>
      </w:r>
    </w:p>
    <w:p>
      <w:r>
        <w:rPr>
          <w:b w:val="0"/>
          <w:sz w:val="21"/>
        </w:rPr>
        <w:t>Değişiklikler yalnızca yazılı ve her iki tarafın imzasıyla yapılır.</w:t>
      </w:r>
    </w:p>
    <w:p>
      <w:pPr>
        <w:spacing w:before="160"/>
      </w:pPr>
      <w:r>
        <w:rPr>
          <w:b/>
          <w:color w:val="7C9E0E"/>
          <w:sz w:val="24"/>
        </w:rPr>
        <w:t>18. KISMI GEÇERSİZLİK</w:t>
      </w:r>
    </w:p>
    <w:p>
      <w:r>
        <w:rPr>
          <w:b w:val="0"/>
          <w:sz w:val="21"/>
        </w:rPr>
        <w:t>Bir maddenin geçersizliği diğer maddelerin geçerliliğini etkilemez.</w:t>
      </w:r>
    </w:p>
    <w:p>
      <w:pPr>
        <w:spacing w:before="160"/>
      </w:pPr>
      <w:r>
        <w:rPr>
          <w:b/>
          <w:color w:val="7C9E0E"/>
          <w:sz w:val="24"/>
        </w:rPr>
        <w:t>19. TARAFLARIN BEYAN VE KABULLERİ</w:t>
      </w:r>
    </w:p>
    <w:p>
      <w:r>
        <w:rPr>
          <w:b w:val="0"/>
          <w:sz w:val="21"/>
        </w:rPr>
        <w:t>Taraflar sözleşmeyi okuduklarını, anladıklarını ve serbest iradeleriyle imzaladıklarını kabul eder.</w:t>
      </w:r>
    </w:p>
    <w:p>
      <w:pPr>
        <w:spacing w:before="160"/>
      </w:pPr>
      <w:r>
        <w:rPr>
          <w:b/>
          <w:color w:val="7C9E0E"/>
          <w:sz w:val="24"/>
        </w:rPr>
        <w:t>20. YÜRÜRLÜK</w:t>
      </w:r>
    </w:p>
    <w:p>
      <w:r>
        <w:rPr>
          <w:b w:val="0"/>
          <w:sz w:val="21"/>
        </w:rPr>
        <w:t>İşbu sözleşme {{İmza_Tarihi}} tarihinde {{Nüsha_Sayısı}} nüsha halinde oluşturulmuştur.</w:t>
      </w:r>
    </w:p>
    <w:p>
      <w:r>
        <w:rPr>
          <w:b w:val="0"/>
          <w:sz w:val="21"/>
        </w:rPr>
        <w:t>📋 TARAFLARIN İMZALARI</w:t>
      </w:r>
    </w:p>
    <w:tbl>
      <w:tblPr>
        <w:tblStyle w:val="TableGrid"/>
        <w:tblW w:type="auto" w:w="0"/>
        <w:tblLook w:firstColumn="1" w:firstRow="1" w:lastColumn="0" w:lastRow="0" w:noHBand="0" w:noVBand="1" w:val="04A0"/>
      </w:tblPr>
      <w:tblGrid>
        <w:gridCol w:w="4320"/>
        <w:gridCol w:w="4320"/>
      </w:tblGrid>
      <w:tr>
        <w:tc>
          <w:tcPr>
            <w:tcW w:type="dxa" w:w="4320"/>
          </w:tcPr>
          <w:p>
            <w:r>
              <w:rPr>
                <w:b/>
              </w:rPr>
              <w:t>{{Firma1_Unvan}}</w:t>
            </w:r>
          </w:p>
        </w:tc>
        <w:tc>
          <w:tcPr>
            <w:tcW w:type="dxa" w:w="4320"/>
          </w:tcPr>
          <w:p>
            <w:r>
              <w:rPr>
                <w:b/>
              </w:rPr>
              <w:t>{{Firma2_Unvan}}</w:t>
            </w:r>
          </w:p>
        </w:tc>
      </w:tr>
      <w:tr>
        <w:tc>
          <w:tcPr>
            <w:tcW w:type="dxa" w:w="4320"/>
          </w:tcPr>
          <w:p>
            <w:r>
              <w:t>İmza: ____________________</w:t>
            </w:r>
          </w:p>
        </w:tc>
        <w:tc>
          <w:tcPr>
            <w:tcW w:type="dxa" w:w="4320"/>
          </w:tcPr>
          <w:p>
            <w:r>
              <w:t>İmza: ____________________</w:t>
            </w:r>
          </w:p>
        </w:tc>
      </w:tr>
      <w:tr>
        <w:tc>
          <w:tcPr>
            <w:tcW w:type="dxa" w:w="4320"/>
          </w:tcPr>
          <w:p>
            <w:r>
              <w:t>Adı Soyadı: {{Firma1_Yetkili}}</w:t>
            </w:r>
          </w:p>
        </w:tc>
        <w:tc>
          <w:tcPr>
            <w:tcW w:type="dxa" w:w="4320"/>
          </w:tcPr>
          <w:p>
            <w:r>
              <w:t>Adı Soyadı: {{Firma2_Yetkili}}</w:t>
            </w:r>
          </w:p>
        </w:tc>
      </w:tr>
      <w:tr>
        <w:tc>
          <w:tcPr>
            <w:tcW w:type="dxa" w:w="4320"/>
          </w:tcPr>
          <w:p>
            <w:r>
              <w:t>Unvanı: {{Firma1_Yetkili_Unvan}}</w:t>
            </w:r>
          </w:p>
        </w:tc>
        <w:tc>
          <w:tcPr>
            <w:tcW w:type="dxa" w:w="4320"/>
          </w:tcPr>
          <w:p>
            <w:r>
              <w:t>Unvanı: {{Firma2_Yetkili_Unvan}}</w:t>
            </w:r>
          </w:p>
        </w:tc>
      </w:tr>
      <w:tr>
        <w:tc>
          <w:tcPr>
            <w:tcW w:type="dxa" w:w="4320"/>
          </w:tcPr>
          <w:p>
            <w:r>
              <w:t>Tarih: {{İmza_Tarihi}}</w:t>
            </w:r>
          </w:p>
        </w:tc>
        <w:tc>
          <w:tcPr>
            <w:tcW w:type="dxa" w:w="4320"/>
          </w:tcPr>
          <w:p>
            <w:r>
              <w:t>Tarih: {{İmza_Tarihi}}</w:t>
            </w:r>
          </w:p>
        </w:tc>
      </w:tr>
      <w:tr>
        <w:tc>
          <w:tcPr>
            <w:tcW w:type="dxa" w:w="4320"/>
          </w:tcPr>
          <w:p>
            <w:r>
              <w:t>Kaşe:</w:t>
            </w:r>
          </w:p>
        </w:tc>
        <w:tc>
          <w:tcPr>
            <w:tcW w:type="dxa" w:w="4320"/>
          </w:tcPr>
          <w:p>
            <w:r>
              <w:t>Kaşe: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