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pct" w:w="5000"/>
        <w:tblLayout w:type="fixed"/>
        <w:tblLook w:firstColumn="1" w:firstRow="1" w:lastColumn="0" w:lastRow="0" w:noHBand="0" w:noVBand="1" w:val="04A0"/>
      </w:tblPr>
      <w:tblGrid>
        <w:gridCol w:w="2856"/>
        <w:gridCol w:w="7224"/>
      </w:tblGrid>
      <w:tr>
        <w:tc>
          <w:tcPr>
            <w:tcW w:type="dxa" w:w="2856"/>
            <w:tcBorders>
              <w:right w:val="single" w:sz="12" w:space="0" w:color="7C9E0E"/>
            </w:tcBorders>
            <w:shd w:val="clear" w:color="auto" w:fill="FFFFFF"/>
          </w:tcPr>
          <w:p>
            <w:pPr>
              <w:jc w:val="center"/>
            </w:pPr>
            <w:r>
              <w:rPr>
                <w:b/>
                <w:color w:val="7C9E0E"/>
                <w:sz w:val="22"/>
              </w:rPr>
              <w:t>LOGO</w:t>
            </w:r>
          </w:p>
        </w:tc>
        <w:tc>
          <w:tcPr>
            <w:tcW w:type="dxa" w:w="7224"/>
            <w:tcBorders>
              <w:left w:val="single" w:sz="12" w:space="0" w:color="7C9E0E"/>
            </w:tcBorders>
            <w:shd w:val="clear" w:color="auto" w:fill="FFFFFF"/>
          </w:tcPr>
          <w:p>
            <w:r>
              <w:rPr>
                <w:b/>
                <w:sz w:val="26"/>
              </w:rPr>
              <w:t>{{firma_unvan}}</w:t>
            </w:r>
          </w:p>
          <w:p>
            <w:r>
              <w:rPr>
                <w:b w:val="0"/>
                <w:sz w:val="21"/>
              </w:rPr>
              <w:t>{{firma_adresi}}</w:t>
            </w:r>
          </w:p>
          <w:p>
            <w:r>
              <w:rPr>
                <w:b/>
                <w:color w:val="7C9E0E"/>
                <w:sz w:val="25"/>
              </w:rPr>
              <w:t>POLITIKA GÖZDEN GEÇIRME PROSEDÜRÜ</w:t>
            </w:r>
          </w:p>
          <w:p>
            <w:r>
              <w:rPr>
                <w:b w:val="0"/>
                <w:sz w:val="21"/>
              </w:rPr>
              <w:t>Kapsam: Tüm BGYS politika ve prosedür belgeleri.</w:t>
            </w:r>
          </w:p>
        </w:tc>
      </w:tr>
    </w:tbl>
    <w:p>
      <w:pPr>
        <w:spacing w:before="120"/>
      </w:pPr>
      <w:r>
        <w:rPr>
          <w:b/>
          <w:sz w:val="21"/>
        </w:rPr>
        <w:t xml:space="preserve">İlgili Politika: </w:t>
      </w:r>
      <w:r>
        <w:rPr>
          <w:b w:val="0"/>
          <w:sz w:val="21"/>
        </w:rPr>
        <w:t xml:space="preserve">Bilgi Güvenliği Politikası    </w:t>
      </w:r>
      <w:r>
        <w:rPr>
          <w:b/>
          <w:sz w:val="21"/>
        </w:rPr>
        <w:t xml:space="preserve">Prosedür Kodu: </w:t>
      </w:r>
      <w:r>
        <w:rPr>
          <w:b w:val="0"/>
          <w:sz w:val="21"/>
        </w:rPr>
        <w:t xml:space="preserve">BG.PRS.12    </w:t>
      </w:r>
      <w:r>
        <w:rPr>
          <w:b/>
          <w:sz w:val="21"/>
        </w:rPr>
        <w:t xml:space="preserve">Revizyon: </w:t>
      </w:r>
      <w:r>
        <w:rPr>
          <w:b w:val="0"/>
          <w:sz w:val="21"/>
        </w:rPr>
        <w:t>v1.0 – Nisan 2026</w:t>
      </w:r>
    </w:p>
    <w:p>
      <w:pPr>
        <w:spacing w:before="160"/>
      </w:pPr>
      <w:r>
        <w:rPr>
          <w:b/>
          <w:color w:val="7C9E0E"/>
          <w:sz w:val="24"/>
        </w:rPr>
        <w:t>1. Amaç</w:t>
      </w:r>
    </w:p>
    <w:p>
      <w:r>
        <w:t>{{firma_unvan}} bünyesindeki tüm bilgi güvenliği politika ve prosedürlerinin periyodik olarak gözden geçirilmesini ve güncellenmesini sağlamak.</w:t>
      </w:r>
    </w:p>
    <w:p>
      <w:pPr>
        <w:spacing w:before="160"/>
      </w:pPr>
      <w:r>
        <w:rPr>
          <w:b/>
          <w:color w:val="7C9E0E"/>
          <w:sz w:val="24"/>
        </w:rPr>
        <w:t>2. Kapsam</w:t>
      </w:r>
    </w:p>
    <w:p>
      <w:r>
        <w:t>Tüm BGYS politika ve prosedür belgeleri.</w:t>
      </w:r>
    </w:p>
    <w:p>
      <w:pPr>
        <w:spacing w:before="160"/>
      </w:pPr>
      <w:r>
        <w:rPr>
          <w:b/>
          <w:color w:val="7C9E0E"/>
          <w:sz w:val="24"/>
        </w:rPr>
        <w:t>3. Sorumluluklar</w:t>
      </w:r>
    </w:p>
    <w:p>
      <w:r>
        <w:t>BGYS Temsilcisi: Gözden geçirme sürecini koordine eder.</w:t>
      </w:r>
    </w:p>
    <w:p>
      <w:r>
        <w:t>Üst Yönetim: Değişiklikleri onaylar.</w:t>
      </w:r>
    </w:p>
    <w:p>
      <w:pPr>
        <w:spacing w:before="160"/>
      </w:pPr>
      <w:r>
        <w:rPr>
          <w:b/>
          <w:color w:val="7C9E0E"/>
          <w:sz w:val="24"/>
        </w:rPr>
        <w:t>4. Uygulama Adımları</w:t>
      </w:r>
    </w:p>
    <w:p>
      <w:pPr>
        <w:spacing w:before="80"/>
      </w:pPr>
      <w:r>
        <w:rPr>
          <w:b/>
          <w:color w:val="7C9E0E"/>
          <w:sz w:val="22"/>
        </w:rPr>
        <w:t>4.1. Periyodik Gözden Geçirme</w:t>
      </w:r>
    </w:p>
    <w:p>
      <w:r>
        <w:t>Tüm politikalar yılda en az 1 kez gözden geçirilir.</w:t>
      </w:r>
    </w:p>
    <w:p>
      <w:r>
        <w:t>Gözden geçirme takvimi: Kasım ayı</w:t>
      </w:r>
    </w:p>
    <w:p>
      <w:r>
        <w:t>Gözden geçirme YGG toplantısı ile eşleştirilir.</w:t>
      </w:r>
    </w:p>
    <w:p>
      <w:pPr>
        <w:spacing w:before="80"/>
      </w:pPr>
      <w:r>
        <w:rPr>
          <w:b/>
          <w:color w:val="7C9E0E"/>
          <w:sz w:val="22"/>
        </w:rPr>
        <w:t>4.2. Tetikleyici Faktörler</w:t>
      </w:r>
    </w:p>
    <w:p>
      <w:r>
        <w:t>Aşağıdaki durumlarda ek gözden geçirme yapılır:</w:t>
      </w:r>
    </w:p>
    <w:p>
      <w:r>
        <w:t>Mevzuat değişikliği (KVKK, BTK)</w:t>
      </w:r>
    </w:p>
    <w:p>
      <w:r>
        <w:t>Organizasyonel değişiklik</w:t>
      </w:r>
    </w:p>
    <w:p>
      <w:r>
        <w:t>Yeni hizmet veya teknoloji</w:t>
      </w:r>
    </w:p>
    <w:p>
      <w:r>
        <w:t>Ciddi güvenlik olayı</w:t>
      </w:r>
    </w:p>
    <w:p>
      <w:r>
        <w:t>Denetim bulguları</w:t>
      </w:r>
    </w:p>
    <w:p>
      <w:pPr>
        <w:spacing w:before="80"/>
      </w:pPr>
      <w:r>
        <w:rPr>
          <w:b/>
          <w:color w:val="7C9E0E"/>
          <w:sz w:val="22"/>
        </w:rPr>
        <w:t>4.3. Gözden Geçirme Adımları</w:t>
      </w:r>
    </w:p>
    <w:p>
      <w:r>
        <w:t>Mevcut dokümanlar gözden geçirilir.</w:t>
      </w:r>
    </w:p>
    <w:p>
      <w:r>
        <w:t>Değişiklik ihtiyaçları belirlenir.</w:t>
      </w:r>
    </w:p>
    <w:p>
      <w:r>
        <w:t>Taslak revizyon hazırlanır.</w:t>
      </w:r>
    </w:p>
    <w:p>
      <w:r>
        <w:t>İlgili paydaşlara bilgilendirme yapılır.</w:t>
      </w:r>
    </w:p>
    <w:p>
      <w:r>
        <w:t>Üst yönetim onayı alınır.</w:t>
      </w:r>
    </w:p>
    <w:p>
      <w:r>
        <w:t>Revize belge yayınlanır ve duyurulur.</w:t>
      </w:r>
    </w:p>
    <w:p>
      <w:pPr>
        <w:spacing w:before="80"/>
      </w:pPr>
      <w:r>
        <w:rPr>
          <w:b/>
          <w:color w:val="7C9E0E"/>
          <w:sz w:val="22"/>
        </w:rPr>
        <w:t>4.4. Revizyon Takibi</w:t>
      </w:r>
    </w:p>
    <w:p>
      <w:r>
        <w:t>Her revizyona yeni numara verilir (v1.0 → v1.1 → v2.0)</w:t>
      </w:r>
    </w:p>
    <w:p>
      <w:r>
        <w:t>Revizyon geçmişi belgenin sonunda tutulur.</w:t>
      </w:r>
    </w:p>
    <w:p>
      <w:r>
        <w:t>Eski versiyonlar arşivlenir.</w:t>
      </w:r>
    </w:p>
    <w:p>
      <w:pPr>
        <w:spacing w:before="160"/>
      </w:pPr>
      <w:r>
        <w:rPr>
          <w:b/>
          <w:color w:val="7C9E0E"/>
          <w:sz w:val="24"/>
        </w:rPr>
        <w:t>5. Kayıt ve Dokümantasyon</w:t>
      </w:r>
    </w:p>
    <w:p>
      <w:r>
        <w:t>Gözden geçirme tarihleri Politika Gözden Geçirme Logu'na kaydedilir.</w:t>
      </w:r>
    </w:p>
    <w:p>
      <w:r>
        <w:t>Yeni versiyonlar Doküman Merkezi'nde yayınlanır.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