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VARLIK SINIFLANDIRMA PROSEDÜRÜ</w:t>
            </w:r>
          </w:p>
          <w:p>
            <w:r>
              <w:rPr>
                <w:b w:val="0"/>
                <w:sz w:val="21"/>
              </w:rPr>
              <w:t>Kapsam: Tüm bilgi varlıkları (fiziksel ve dijital).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Varlık Yönetimi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BG.PRS.04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bünyesindeki tüm bilgi varlıklarının gizlilik, bütünlük ve erişilebilirlik kriterlerine göre sınıflandırılmasını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bilgi varlıkları (fiziksel ve dijital).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Varlık Sahipleri: Varlığın sınıflandırmasını yapar ve günceller.</w:t>
      </w:r>
    </w:p>
    <w:p>
      <w:r>
        <w:t>BGYS Temsilcisi: Sınıflandırmanın doğruluğunu denetler.</w:t>
      </w:r>
    </w:p>
    <w:p>
      <w:pPr>
        <w:spacing w:before="160"/>
      </w:pPr>
      <w:r>
        <w:rPr>
          <w:b/>
          <w:color w:val="7C9E0E"/>
          <w:sz w:val="24"/>
        </w:rPr>
        <w:t>4. Sınıflandırma Seviyeleri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Seviye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Açıklama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Örnek</w:t>
            </w:r>
          </w:p>
        </w:tc>
      </w:tr>
      <w:tr>
        <w:tc>
          <w:tcPr>
            <w:tcW w:type="dxa" w:w="2880"/>
          </w:tcPr>
          <w:p>
            <w:r>
              <w:t>Gizli</w:t>
            </w:r>
          </w:p>
        </w:tc>
        <w:tc>
          <w:tcPr>
            <w:tcW w:type="dxa" w:w="2880"/>
          </w:tcPr>
          <w:p>
            <w:r>
              <w:t>Yalnızca yetkili kişiler erişebilir</w:t>
            </w:r>
          </w:p>
        </w:tc>
        <w:tc>
          <w:tcPr>
            <w:tcW w:type="dxa" w:w="2880"/>
          </w:tcPr>
          <w:p>
            <w:r>
              <w:t>Müşteri veritabanı, şifreler, sözleşmeler</w:t>
            </w:r>
          </w:p>
        </w:tc>
      </w:tr>
      <w:tr>
        <w:tc>
          <w:tcPr>
            <w:tcW w:type="dxa" w:w="2880"/>
          </w:tcPr>
          <w:p>
            <w:r>
              <w:t>Hizmete Özel</w:t>
            </w:r>
          </w:p>
        </w:tc>
        <w:tc>
          <w:tcPr>
            <w:tcW w:type="dxa" w:w="2880"/>
          </w:tcPr>
          <w:p>
            <w:r>
              <w:t>İç kullanım, çalışanlar arası paylaşılabilir</w:t>
            </w:r>
          </w:p>
        </w:tc>
        <w:tc>
          <w:tcPr>
            <w:tcW w:type="dxa" w:w="2880"/>
          </w:tcPr>
          <w:p>
            <w:r>
              <w:t>İç dokümanlar, politikalar</w:t>
            </w:r>
          </w:p>
        </w:tc>
      </w:tr>
      <w:tr>
        <w:tc>
          <w:tcPr>
            <w:tcW w:type="dxa" w:w="2880"/>
          </w:tcPr>
          <w:p>
            <w:r>
              <w:t>Kuruma Özel</w:t>
            </w:r>
          </w:p>
        </w:tc>
        <w:tc>
          <w:tcPr>
            <w:tcW w:type="dxa" w:w="2880"/>
          </w:tcPr>
          <w:p>
            <w:r>
              <w:t>Kurum içi, kamuya açık değil</w:t>
            </w:r>
          </w:p>
        </w:tc>
        <w:tc>
          <w:tcPr>
            <w:tcW w:type="dxa" w:w="2880"/>
          </w:tcPr>
          <w:p>
            <w:r>
              <w:t>Finansal raporlar, strateji belgeleri</w:t>
            </w:r>
          </w:p>
        </w:tc>
      </w:tr>
      <w:tr>
        <w:tc>
          <w:tcPr>
            <w:tcW w:type="dxa" w:w="2880"/>
          </w:tcPr>
          <w:p>
            <w:r>
              <w:t>Genel</w:t>
            </w:r>
          </w:p>
        </w:tc>
        <w:tc>
          <w:tcPr>
            <w:tcW w:type="dxa" w:w="2880"/>
          </w:tcPr>
          <w:p>
            <w:r>
              <w:t>Herkese açık yayınlanabilir</w:t>
            </w:r>
          </w:p>
        </w:tc>
        <w:tc>
          <w:tcPr>
            <w:tcW w:type="dxa" w:w="2880"/>
          </w:tcPr>
          <w:p>
            <w:r>
              <w:t>Web sitesi, hizmet tanıtımları</w:t>
            </w:r>
          </w:p>
        </w:tc>
      </w:tr>
    </w:tbl>
    <w:p>
      <w:pPr>
        <w:spacing w:before="160"/>
      </w:pPr>
      <w:r>
        <w:rPr>
          <w:b/>
          <w:color w:val="7C9E0E"/>
          <w:sz w:val="24"/>
        </w:rPr>
        <w:t>5. Uygulama Adımları</w:t>
      </w:r>
    </w:p>
    <w:p>
      <w:pPr>
        <w:spacing w:before="80"/>
      </w:pPr>
      <w:r>
        <w:rPr>
          <w:b/>
          <w:color w:val="7C9E0E"/>
          <w:sz w:val="22"/>
        </w:rPr>
        <w:t>5.1. Sınıflandırma Değerlendirmesi</w:t>
      </w:r>
    </w:p>
    <w:p>
      <w:r>
        <w:t>Varlığın Gizlilik ihtiyacı 1-3 arasında puanlanır.</w:t>
      </w:r>
    </w:p>
    <w:p>
      <w:r>
        <w:t>Varlığın Bütünlük ihtiyacı 1-3 arasında puanlanır.</w:t>
      </w:r>
    </w:p>
    <w:p>
      <w:r>
        <w:t>Varlığın Erişilebilirlik ihtiyacı 1-3 arasında puanlanır.</w:t>
      </w:r>
    </w:p>
    <w:p>
      <w:pPr>
        <w:spacing w:before="80"/>
      </w:pPr>
      <w:r>
        <w:rPr>
          <w:b/>
          <w:color w:val="7C9E0E"/>
          <w:sz w:val="22"/>
        </w:rPr>
        <w:t>5.2. Sınıflandırma Atama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Toplam Puan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Sınıflandırma Seviyesi</w:t>
            </w:r>
          </w:p>
        </w:tc>
      </w:tr>
      <w:tr>
        <w:tc>
          <w:tcPr>
            <w:tcW w:type="dxa" w:w="4320"/>
          </w:tcPr>
          <w:p>
            <w:r>
              <w:t>7-9</w:t>
            </w:r>
          </w:p>
        </w:tc>
        <w:tc>
          <w:tcPr>
            <w:tcW w:type="dxa" w:w="4320"/>
          </w:tcPr>
          <w:p>
            <w:r>
              <w:t>Gizli</w:t>
            </w:r>
          </w:p>
        </w:tc>
      </w:tr>
      <w:tr>
        <w:tc>
          <w:tcPr>
            <w:tcW w:type="dxa" w:w="4320"/>
          </w:tcPr>
          <w:p>
            <w:r>
              <w:t>5-6</w:t>
            </w:r>
          </w:p>
        </w:tc>
        <w:tc>
          <w:tcPr>
            <w:tcW w:type="dxa" w:w="4320"/>
          </w:tcPr>
          <w:p>
            <w:r>
              <w:t>Hizmete Özel</w:t>
            </w:r>
          </w:p>
        </w:tc>
      </w:tr>
      <w:tr>
        <w:tc>
          <w:tcPr>
            <w:tcW w:type="dxa" w:w="4320"/>
          </w:tcPr>
          <w:p>
            <w:r>
              <w:t>3-4</w:t>
            </w:r>
          </w:p>
        </w:tc>
        <w:tc>
          <w:tcPr>
            <w:tcW w:type="dxa" w:w="4320"/>
          </w:tcPr>
          <w:p>
            <w:r>
              <w:t>Kuruma Özel</w:t>
            </w:r>
          </w:p>
        </w:tc>
      </w:tr>
      <w:tr>
        <w:tc>
          <w:tcPr>
            <w:tcW w:type="dxa" w:w="4320"/>
          </w:tcPr>
          <w:p>
            <w:r>
              <w:t>1-2</w:t>
            </w:r>
          </w:p>
        </w:tc>
        <w:tc>
          <w:tcPr>
            <w:tcW w:type="dxa" w:w="4320"/>
          </w:tcPr>
          <w:p>
            <w:r>
              <w:t>Genel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5.3. Etiketleme ve İşaretleme</w:t>
      </w:r>
    </w:p>
    <w:p>
      <w:r>
        <w:t>Fiziksel varlıklar renk kodlu etiketlerle işaretlenir.</w:t>
      </w:r>
    </w:p>
    <w:p>
      <w:r>
        <w:t>Dijital varlıklar sistem üzerinde sınıflandırma etiketi alır.</w:t>
      </w:r>
    </w:p>
    <w:p>
      <w:r>
        <w:t>Gizli varlıklar "GİZLİ" ibaresi ile işaretlenir.</w:t>
      </w:r>
    </w:p>
    <w:p>
      <w:pPr>
        <w:spacing w:before="160"/>
      </w:pPr>
      <w:r>
        <w:rPr>
          <w:b/>
          <w:color w:val="7C9E0E"/>
          <w:sz w:val="24"/>
        </w:rPr>
        <w:t>6. Gözden Geçirme</w:t>
      </w:r>
    </w:p>
    <w:p>
      <w:r>
        <w:t>Sınıflandırmalar yılda bir kez veya varlık önemli değişiklik geçirdiğinde güncellenir.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