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{{firma_unvan}}</w:t>
            </w:r>
          </w:p>
          <w:p>
            <w:r>
              <w:rPr>
                <w:b w:val="0"/>
                <w:sz w:val="21"/>
              </w:rPr>
              <w:t>{{firma_adresi}}</w:t>
            </w:r>
          </w:p>
          <w:p>
            <w:r>
              <w:rPr>
                <w:b/>
                <w:color w:val="7C9E0E"/>
                <w:sz w:val="25"/>
              </w:rPr>
              <w:t>YASAL UYUM KONTROL PROSEDÜRÜ</w:t>
            </w:r>
          </w:p>
          <w:p>
            <w:r>
              <w:rPr>
                <w:b w:val="0"/>
                <w:sz w:val="21"/>
              </w:rPr>
              <w:t>Kapsam: Kişisel veri işleme, trafik kaydı saklama, müşteri sözleşmeleri ve sektörel mevzuat.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İlgili Politika: </w:t>
      </w:r>
      <w:r>
        <w:rPr>
          <w:b w:val="0"/>
          <w:sz w:val="21"/>
        </w:rPr>
        <w:t xml:space="preserve">Uyum Politikası    </w:t>
      </w:r>
      <w:r>
        <w:rPr>
          <w:b/>
          <w:sz w:val="21"/>
        </w:rPr>
        <w:t xml:space="preserve">Prosedür Kodu: </w:t>
      </w:r>
      <w:r>
        <w:rPr>
          <w:b w:val="0"/>
          <w:sz w:val="21"/>
        </w:rPr>
        <w:t xml:space="preserve">BG.PRS.09    </w:t>
      </w:r>
      <w:r>
        <w:rPr>
          <w:b/>
          <w:sz w:val="21"/>
        </w:rPr>
        <w:t xml:space="preserve">Revizyon: </w:t>
      </w:r>
      <w:r>
        <w:rPr>
          <w:b w:val="0"/>
          <w:sz w:val="21"/>
        </w:rPr>
        <w:t>v1.0 – Nisan 2026</w:t>
      </w:r>
    </w:p>
    <w:p>
      <w:pPr>
        <w:spacing w:before="160"/>
      </w:pPr>
      <w:r>
        <w:rPr>
          <w:b/>
          <w:color w:val="7C9E0E"/>
          <w:sz w:val="24"/>
        </w:rPr>
        <w:t>1. Amaç</w:t>
      </w:r>
    </w:p>
    <w:p>
      <w:r>
        <w:t>{{firma_unvan}} faaliyetlerinin KVKK, BTK ve diğer yasal düzenlemelere uygunluğunu sağlamak ve belgelemek.</w:t>
      </w:r>
    </w:p>
    <w:p>
      <w:pPr>
        <w:spacing w:before="160"/>
      </w:pPr>
      <w:r>
        <w:rPr>
          <w:b/>
          <w:color w:val="7C9E0E"/>
          <w:sz w:val="24"/>
        </w:rPr>
        <w:t>2. Kapsam</w:t>
      </w:r>
    </w:p>
    <w:p>
      <w:r>
        <w:t>Kişisel veri işleme, trafik kaydı saklama, müşteri sözleşmeleri ve sektörel mevzuat.</w:t>
      </w:r>
    </w:p>
    <w:p>
      <w:pPr>
        <w:spacing w:before="160"/>
      </w:pPr>
      <w:r>
        <w:rPr>
          <w:b/>
          <w:color w:val="7C9E0E"/>
          <w:sz w:val="24"/>
        </w:rPr>
        <w:t>3. Sorumluluklar</w:t>
      </w:r>
    </w:p>
    <w:p>
      <w:r>
        <w:t>BGYS Temsilcisi: Uyum kontrollerini koordine eder.</w:t>
      </w:r>
    </w:p>
    <w:p>
      <w:r>
        <w:t>Hukuk Danışmanı: Mevzuat değişikliklerini takip eder.</w:t>
      </w:r>
    </w:p>
    <w:p>
      <w:pPr>
        <w:spacing w:before="160"/>
      </w:pPr>
      <w:r>
        <w:rPr>
          <w:b/>
          <w:color w:val="7C9E0E"/>
          <w:sz w:val="24"/>
        </w:rPr>
        <w:t>4. Uygulama Adımları</w:t>
      </w:r>
    </w:p>
    <w:p>
      <w:pPr>
        <w:spacing w:before="80"/>
      </w:pPr>
      <w:r>
        <w:rPr>
          <w:b/>
          <w:color w:val="7C9E0E"/>
          <w:sz w:val="22"/>
        </w:rPr>
        <w:t>4.1. Mevzuat Takibi</w:t>
      </w:r>
    </w:p>
    <w:p>
      <w:r>
        <w:t>Hukuk danışmanı, KVKK ve BTK mevzuat değişikliklerini 3 ayda bir takip eder.</w:t>
      </w:r>
    </w:p>
    <w:p>
      <w:r>
        <w:t>Değişiklikler BGYS Temsilcisi'ne raporlanır.</w:t>
      </w:r>
    </w:p>
    <w:p>
      <w:r>
        <w:t>Gerekiyorsa politika/prosedür güncellemesi yapılır.</w:t>
      </w:r>
    </w:p>
    <w:p>
      <w:pPr>
        <w:spacing w:before="80"/>
      </w:pPr>
      <w:r>
        <w:rPr>
          <w:b/>
          <w:color w:val="7C9E0E"/>
          <w:sz w:val="22"/>
        </w:rPr>
        <w:t>4.2. KVKK Uyum Kontrolleri</w:t>
      </w:r>
    </w:p>
    <w:p>
      <w:r>
        <w:t>Kişisel veri işleme faaliyetleri VERBİS kaydı yapılır.</w:t>
      </w:r>
    </w:p>
    <w:p>
      <w:r>
        <w:t>Aydınlatma metinleri tüm veri toplama noktalarında mevcuttur.</w:t>
      </w:r>
    </w:p>
    <w:p>
      <w:r>
        <w:t>Açık rıza metinleri ve onay kayıtları saklanır.</w:t>
      </w:r>
    </w:p>
    <w:p>
      <w:r>
        <w:t>Kişisel veri saklama ve imha politikası uygulanır.</w:t>
      </w:r>
    </w:p>
    <w:p>
      <w:pPr>
        <w:spacing w:before="80"/>
      </w:pPr>
      <w:r>
        <w:rPr>
          <w:b/>
          <w:color w:val="7C9E0E"/>
          <w:sz w:val="22"/>
        </w:rPr>
        <w:t>4.3. BTK Uyum Kontrolleri</w:t>
      </w:r>
    </w:p>
    <w:p>
      <w:r>
        <w:t>İnternet trafik kayıtları BTK'ya uygun olarak 2 yıl saklanır.</w:t>
      </w:r>
    </w:p>
    <w:p>
      <w:r>
        <w:t>Trafik kayıtlarına erişim prosedürü uygulanır.</w:t>
      </w:r>
    </w:p>
    <w:p>
      <w:r>
        <w:t>Yasal makamlara bilgi sağlama prosedürü hazırdır.</w:t>
      </w:r>
    </w:p>
    <w:p>
      <w:pPr>
        <w:spacing w:before="80"/>
      </w:pPr>
      <w:r>
        <w:rPr>
          <w:b/>
          <w:color w:val="7C9E0E"/>
          <w:sz w:val="22"/>
        </w:rPr>
        <w:t>4.4. Sözleşme Uyumu</w:t>
      </w:r>
    </w:p>
    <w:p>
      <w:r>
        <w:t>Müşteri sözleşmelerinde gizlilik ve veri koruma maddeleri bulunur.</w:t>
      </w:r>
    </w:p>
    <w:p>
      <w:r>
        <w:t>Tedarikçi sözleşmelerinde güvenlik yükümlülükleri tanımlanır.</w:t>
      </w:r>
    </w:p>
    <w:p>
      <w:pPr>
        <w:spacing w:before="80"/>
      </w:pPr>
      <w:r>
        <w:rPr>
          <w:b/>
          <w:color w:val="7C9E0E"/>
          <w:sz w:val="22"/>
        </w:rPr>
        <w:t>4.5. Periyodik Kontroller</w:t>
      </w:r>
    </w:p>
    <w:p>
      <w:r>
        <w:t>Yıllık iç denetim ile uyum durumu kontrol edilir.</w:t>
      </w:r>
    </w:p>
    <w:p>
      <w:r>
        <w:t>Uyum ihlalleri DFİ kaydına alınır.</w:t>
      </w:r>
    </w:p>
    <w:p>
      <w:pPr>
        <w:spacing w:before="160"/>
      </w:pPr>
      <w:r>
        <w:rPr>
          <w:b/>
          <w:color w:val="7C9E0E"/>
          <w:sz w:val="24"/>
        </w:rPr>
        <w:t>5. Kayıt ve Dokümantasyon</w:t>
      </w:r>
    </w:p>
    <w:p>
      <w:r>
        <w:t>VERBİS kayıtları güncel tutulur.</w:t>
      </w:r>
    </w:p>
    <w:p>
      <w:r>
        <w:t>Tüm aydınlatma metinleri revize edilir.</w:t>
      </w:r>
    </w:p>
    <w:p>
      <w:r>
        <w:t>Uyum raporları yıllık olarak hazırlanır.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