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TEDARIKÇI DEĞERLENDIRME PROSEDÜRÜ</w:t>
            </w:r>
          </w:p>
          <w:p>
            <w:r>
              <w:rPr>
                <w:b w:val="0"/>
                <w:sz w:val="21"/>
              </w:rPr>
              <w:t>Kapsam: Tüm tedarikçiler, iş ortakları, dış hizmet sağlayıcılar (bulut, bakım, danışmanlık).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Tedarikçi Güvenliği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BG.PRS.10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ile çalışan tedarikçi ve iş ortaklarının bilgi güvenliği risklerini değerlendirmek ve yönetmek.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Tüm tedarikçiler, iş ortakları, dış hizmet sağlayıcılar (bulut, bakım, danışmanlık).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Satınalma Sorumlusu: Tedarikçi değerlendirme sürecini yönetir.</w:t>
      </w:r>
    </w:p>
    <w:p>
      <w:r>
        <w:t>BGYS Temsilcisi: Güvenlik değerlendirmesini yapar.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Tedarikçi Ön Değerlendirme</w:t>
      </w:r>
    </w:p>
    <w:p>
      <w:r>
        <w:t>Tedarikçi, Tedarikçi Güvenlik Değerlendirme Formu doldurur.</w:t>
      </w:r>
    </w:p>
    <w:p>
      <w:r>
        <w:t>Formda şu bölümler yer alır:</w:t>
      </w:r>
    </w:p>
    <w:p>
      <w:r>
        <w:t>Firma bilgileri</w:t>
      </w:r>
    </w:p>
    <w:p>
      <w:r>
        <w:t>ISO veya güvenlik sertifikaları</w:t>
      </w:r>
    </w:p>
    <w:p>
      <w:r>
        <w:t>Veri koruma politikaları</w:t>
      </w:r>
    </w:p>
    <w:p>
      <w:r>
        <w:t>Alt tedarikçi bilgileri</w:t>
      </w:r>
    </w:p>
    <w:p>
      <w:r>
        <w:t>Olay müdahale yetkinliği</w:t>
      </w:r>
    </w:p>
    <w:p>
      <w:pPr>
        <w:spacing w:before="80"/>
      </w:pPr>
      <w:r>
        <w:rPr>
          <w:b/>
          <w:color w:val="7C9E0E"/>
          <w:sz w:val="22"/>
        </w:rPr>
        <w:t>4.2. Güvenlik Kriterleri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Kriter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Değerlendirme</w:t>
            </w:r>
          </w:p>
        </w:tc>
      </w:tr>
      <w:tr>
        <w:tc>
          <w:tcPr>
            <w:tcW w:type="dxa" w:w="4320"/>
          </w:tcPr>
          <w:p>
            <w:r>
              <w:t>ISO 27001 sertifikası</w:t>
            </w:r>
          </w:p>
        </w:tc>
        <w:tc>
          <w:tcPr>
            <w:tcW w:type="dxa" w:w="4320"/>
          </w:tcPr>
          <w:p>
            <w:r>
              <w:t>Tercih sebebi</w:t>
            </w:r>
          </w:p>
        </w:tc>
      </w:tr>
      <w:tr>
        <w:tc>
          <w:tcPr>
            <w:tcW w:type="dxa" w:w="4320"/>
          </w:tcPr>
          <w:p>
            <w:r>
              <w:t>KVKK uyumu</w:t>
            </w:r>
          </w:p>
        </w:tc>
        <w:tc>
          <w:tcPr>
            <w:tcW w:type="dxa" w:w="4320"/>
          </w:tcPr>
          <w:p>
            <w:r>
              <w:t>Zorunlu</w:t>
            </w:r>
          </w:p>
        </w:tc>
      </w:tr>
      <w:tr>
        <w:tc>
          <w:tcPr>
            <w:tcW w:type="dxa" w:w="4320"/>
          </w:tcPr>
          <w:p>
            <w:r>
              <w:t>Veri ihlali geçmişi</w:t>
            </w:r>
          </w:p>
        </w:tc>
        <w:tc>
          <w:tcPr>
            <w:tcW w:type="dxa" w:w="4320"/>
          </w:tcPr>
          <w:p>
            <w:r>
              <w:t>İncelenir</w:t>
            </w:r>
          </w:p>
        </w:tc>
      </w:tr>
      <w:tr>
        <w:tc>
          <w:tcPr>
            <w:tcW w:type="dxa" w:w="4320"/>
          </w:tcPr>
          <w:p>
            <w:r>
              <w:t>Fiziksel güvenlik</w:t>
            </w:r>
          </w:p>
        </w:tc>
        <w:tc>
          <w:tcPr>
            <w:tcW w:type="dxa" w:w="4320"/>
          </w:tcPr>
          <w:p>
            <w:r>
              <w:t>Değerlendirilir</w:t>
            </w:r>
          </w:p>
        </w:tc>
      </w:tr>
      <w:tr>
        <w:tc>
          <w:tcPr>
            <w:tcW w:type="dxa" w:w="4320"/>
          </w:tcPr>
          <w:p>
            <w:r>
              <w:t>Erişim kontrol politikası</w:t>
            </w:r>
          </w:p>
        </w:tc>
        <w:tc>
          <w:tcPr>
            <w:tcW w:type="dxa" w:w="4320"/>
          </w:tcPr>
          <w:p>
            <w:r>
              <w:t>Değerlendirilir</w:t>
            </w:r>
          </w:p>
        </w:tc>
      </w:tr>
    </w:tbl>
    <w:p>
      <w:pPr>
        <w:spacing w:before="80"/>
      </w:pPr>
      <w:r>
        <w:rPr>
          <w:b/>
          <w:color w:val="7C9E0E"/>
          <w:sz w:val="22"/>
        </w:rPr>
        <w:t>4.3. Risk Seviyesi Belirleme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 Seviyesi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Aksiyon</w:t>
            </w:r>
          </w:p>
        </w:tc>
      </w:tr>
      <w:tr>
        <w:tc>
          <w:tcPr>
            <w:tcW w:type="dxa" w:w="4320"/>
          </w:tcPr>
          <w:p>
            <w:r>
              <w:t>Düşük</w:t>
            </w:r>
          </w:p>
        </w:tc>
        <w:tc>
          <w:tcPr>
            <w:tcW w:type="dxa" w:w="4320"/>
          </w:tcPr>
          <w:p>
            <w:r>
              <w:t>Standart izleme</w:t>
            </w:r>
          </w:p>
        </w:tc>
      </w:tr>
      <w:tr>
        <w:tc>
          <w:tcPr>
            <w:tcW w:type="dxa" w:w="4320"/>
          </w:tcPr>
          <w:p>
            <w:r>
              <w:t>Orta</w:t>
            </w:r>
          </w:p>
        </w:tc>
        <w:tc>
          <w:tcPr>
            <w:tcW w:type="dxa" w:w="4320"/>
          </w:tcPr>
          <w:p>
            <w:r>
              <w:t>Ek şartlar eklenir</w:t>
            </w:r>
          </w:p>
        </w:tc>
      </w:tr>
      <w:tr>
        <w:tc>
          <w:tcPr>
            <w:tcW w:type="dxa" w:w="4320"/>
          </w:tcPr>
          <w:p>
            <w:r>
              <w:t>Yüksek</w:t>
            </w:r>
          </w:p>
        </w:tc>
        <w:tc>
          <w:tcPr>
            <w:tcW w:type="dxa" w:w="4320"/>
          </w:tcPr>
          <w:p>
            <w:r>
              <w:t>Ek güvenlik denetimi, red veya ek maddeler</w:t>
            </w:r>
          </w:p>
        </w:tc>
      </w:tr>
    </w:tbl>
    <w:p>
      <w:pPr>
        <w:spacing w:before="80"/>
      </w:pPr>
      <w:r>
        <w:rPr>
          <w:b/>
          <w:color w:val="7C9E0E"/>
          <w:sz w:val="22"/>
        </w:rPr>
        <w:t>4.4. Sözleşme Aşaması</w:t>
      </w:r>
    </w:p>
    <w:p>
      <w:r>
        <w:t>Sözleşmeye gizlilik ve veri koruma maddeleri eklenir.</w:t>
      </w:r>
    </w:p>
    <w:p>
      <w:r>
        <w:t>Olay bildirim yükümlülüğü (24 saat) belirtilir.</w:t>
      </w:r>
    </w:p>
    <w:p>
      <w:r>
        <w:t>Denetim hakkı maddesi eklenir.</w:t>
      </w:r>
    </w:p>
    <w:p>
      <w:pPr>
        <w:spacing w:before="80"/>
      </w:pPr>
      <w:r>
        <w:rPr>
          <w:b/>
          <w:color w:val="7C9E0E"/>
          <w:sz w:val="22"/>
        </w:rPr>
        <w:t>4.5. Periyodik Değerlendirme</w:t>
      </w:r>
    </w:p>
    <w:p>
      <w:r>
        <w:t>Tedarikçiler yılda bir kez yeniden değerlendirilir.</w:t>
      </w:r>
    </w:p>
    <w:p>
      <w:r>
        <w:t>Önemli olay durumunda ek değerlendirme yapılır.</w:t>
      </w:r>
    </w:p>
    <w:p>
      <w:pPr>
        <w:spacing w:before="160"/>
      </w:pPr>
      <w:r>
        <w:rPr>
          <w:b/>
          <w:color w:val="7C9E0E"/>
          <w:sz w:val="24"/>
        </w:rPr>
        <w:t>5. Kayıt ve Dokümantasyon</w:t>
      </w:r>
    </w:p>
    <w:p>
      <w:r>
        <w:t>Tedarikçi değerlendirme formları 5 yıl saklanır.</w:t>
      </w:r>
    </w:p>
    <w:p>
      <w:r>
        <w:t>Tedarikçi sözleşmeleri BGYS arşivinde tutulur.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