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RISK DEĞERLENDIRME PROSEDÜRÜ</w:t>
            </w:r>
          </w:p>
          <w:p>
            <w:r>
              <w:rPr>
                <w:b w:val="0"/>
                <w:sz w:val="21"/>
              </w:rPr>
              <w:t>Kapsam: Tüm bilgi varlıkları, süreçler ve hizmetler.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Bilgi Güvenliği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BG.PRS.11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bünyesindeki bilgi varlıklarına yönelik risklerin sistematik olarak tanımlanması, değerlendirilmesi ve önceliklendirilmesini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bilgi varlıkları, süreçler ve hizmetler.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BGYS Temsilcisi: Risk değerlendirme sürecini yönetir.</w:t>
      </w:r>
    </w:p>
    <w:p>
      <w:r>
        <w:t>Varlık Sahipleri: Riskleri tanımlar ve değerlendirir.</w:t>
      </w:r>
    </w:p>
    <w:p>
      <w:r>
        <w:t>Üst Yönetim: Risk işleme kararlarını onaylar.</w:t>
      </w:r>
    </w:p>
    <w:p>
      <w:pPr>
        <w:spacing w:before="160"/>
      </w:pPr>
      <w:r>
        <w:rPr>
          <w:b/>
          <w:color w:val="7C9E0E"/>
          <w:sz w:val="24"/>
        </w:rPr>
        <w:t>4. Uygulama Adımları</w:t>
      </w:r>
    </w:p>
    <w:p>
      <w:pPr>
        <w:spacing w:before="80"/>
      </w:pPr>
      <w:r>
        <w:rPr>
          <w:b/>
          <w:color w:val="7C9E0E"/>
          <w:sz w:val="22"/>
        </w:rPr>
        <w:t>4.1. Risk Tanımlama</w:t>
      </w:r>
    </w:p>
    <w:p>
      <w:r>
        <w:t>Her varlık için potansiyel tehditler listelenir:</w:t>
      </w:r>
    </w:p>
    <w:p>
      <w:r>
        <w:t>Doğal afetler (yangın, deprem)</w:t>
      </w:r>
    </w:p>
    <w:p>
      <w:r>
        <w:t>Siber saldırılar (DDoS, malware)</w:t>
      </w:r>
    </w:p>
    <w:p>
      <w:r>
        <w:t>İnsan hatası (config hatası, silme)</w:t>
      </w:r>
    </w:p>
    <w:p>
      <w:r>
        <w:t>Donanım arızası</w:t>
      </w:r>
    </w:p>
    <w:p>
      <w:r>
        <w:t>Yetkisiz erişim</w:t>
      </w:r>
    </w:p>
    <w:p>
      <w:r>
        <w:t>Her varlık için zafiyetler tespit edilir:</w:t>
      </w:r>
    </w:p>
    <w:p>
      <w:r>
        <w:t>Zayıf şifre politikası</w:t>
      </w:r>
    </w:p>
    <w:p>
      <w:r>
        <w:t>Eksik yedekleme</w:t>
      </w:r>
    </w:p>
    <w:p>
      <w:r>
        <w:t>Güncel olmayan yazılım</w:t>
      </w:r>
    </w:p>
    <w:p>
      <w:r>
        <w:t>Yetersiz fiziksel güvenlik</w:t>
      </w:r>
    </w:p>
    <w:p>
      <w:pPr>
        <w:spacing w:before="80"/>
      </w:pPr>
      <w:r>
        <w:rPr>
          <w:b/>
          <w:color w:val="7C9E0E"/>
          <w:sz w:val="22"/>
        </w:rPr>
        <w:t>4.2. Risk Analizi</w:t>
      </w:r>
    </w:p>
    <w:p>
      <w:r>
        <w:t>Her risk için Olasılık (1-5) puanlanır:</w:t>
      </w:r>
    </w:p>
    <w:p>
      <w:r>
        <w:t>1: Çok düşük (10 yılda 1)</w:t>
      </w:r>
    </w:p>
    <w:p>
      <w:r>
        <w:t>5: Çok yüksek (yılda 1+)</w:t>
      </w:r>
    </w:p>
    <w:p>
      <w:r>
        <w:t>Her risk için Etki (1-5) puanlanır:</w:t>
      </w:r>
    </w:p>
    <w:p>
      <w:r>
        <w:t>1: Önemsiz etki</w:t>
      </w:r>
    </w:p>
    <w:p>
      <w:r>
        <w:t>5: Felaket etki</w:t>
      </w:r>
    </w:p>
    <w:p>
      <w:r>
        <w:t>Risk Skoru = Olasılık × Etki</w:t>
      </w:r>
    </w:p>
    <w:p>
      <w:pPr>
        <w:spacing w:before="80"/>
      </w:pPr>
      <w:r>
        <w:rPr>
          <w:b/>
          <w:color w:val="7C9E0E"/>
          <w:sz w:val="22"/>
        </w:rPr>
        <w:t>4.3. Risk Seviyesi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Skor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Seviye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Aksiyon</w:t>
            </w:r>
          </w:p>
        </w:tc>
      </w:tr>
      <w:tr>
        <w:tc>
          <w:tcPr>
            <w:tcW w:type="dxa" w:w="2880"/>
          </w:tcPr>
          <w:p>
            <w:r>
              <w:t>1-6</w:t>
            </w:r>
          </w:p>
        </w:tc>
        <w:tc>
          <w:tcPr>
            <w:tcW w:type="dxa" w:w="2880"/>
          </w:tcPr>
          <w:p>
            <w:r>
              <w:t>Düşük</w:t>
            </w:r>
          </w:p>
        </w:tc>
        <w:tc>
          <w:tcPr>
            <w:tcW w:type="dxa" w:w="2880"/>
          </w:tcPr>
          <w:p>
            <w:r>
              <w:t>İzle, kabul et</w:t>
            </w:r>
          </w:p>
        </w:tc>
      </w:tr>
      <w:tr>
        <w:tc>
          <w:tcPr>
            <w:tcW w:type="dxa" w:w="2880"/>
          </w:tcPr>
          <w:p>
            <w:r>
              <w:t>7-14</w:t>
            </w:r>
          </w:p>
        </w:tc>
        <w:tc>
          <w:tcPr>
            <w:tcW w:type="dxa" w:w="2880"/>
          </w:tcPr>
          <w:p>
            <w:r>
              <w:t>Orta</w:t>
            </w:r>
          </w:p>
        </w:tc>
        <w:tc>
          <w:tcPr>
            <w:tcW w:type="dxa" w:w="2880"/>
          </w:tcPr>
          <w:p>
            <w:r>
              <w:t>Risk işleme planı oluştur</w:t>
            </w:r>
          </w:p>
        </w:tc>
      </w:tr>
      <w:tr>
        <w:tc>
          <w:tcPr>
            <w:tcW w:type="dxa" w:w="2880"/>
          </w:tcPr>
          <w:p>
            <w:r>
              <w:t>15-25</w:t>
            </w:r>
          </w:p>
        </w:tc>
        <w:tc>
          <w:tcPr>
            <w:tcW w:type="dxa" w:w="2880"/>
          </w:tcPr>
          <w:p>
            <w:r>
              <w:t>Yüksek</w:t>
            </w:r>
          </w:p>
        </w:tc>
        <w:tc>
          <w:tcPr>
            <w:tcW w:type="dxa" w:w="2880"/>
          </w:tcPr>
          <w:p>
            <w:r>
              <w:t>Acil önlem al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4.4. Risk Kaydı</w:t>
      </w:r>
    </w:p>
    <w:p>
      <w:r>
        <w:t>Her risk için aşağıdaki bilgiler kaydedilir:</w:t>
      </w:r>
    </w:p>
    <w:p>
      <w:r>
        <w:t>Risk ID (RSK-XXXX)</w:t>
      </w:r>
    </w:p>
    <w:p>
      <w:r>
        <w:t>İlgili varlık</w:t>
      </w:r>
    </w:p>
    <w:p>
      <w:r>
        <w:t>Tehdit ve zafiyet</w:t>
      </w:r>
    </w:p>
    <w:p>
      <w:r>
        <w:t>Olasılık ve etki</w:t>
      </w:r>
    </w:p>
    <w:p>
      <w:r>
        <w:t>Skor ve seviye</w:t>
      </w:r>
    </w:p>
    <w:p>
      <w:r>
        <w:t>Tespit tarihi</w:t>
      </w:r>
    </w:p>
    <w:p>
      <w:pPr>
        <w:spacing w:before="160"/>
      </w:pPr>
      <w:r>
        <w:rPr>
          <w:b/>
          <w:color w:val="7C9E0E"/>
          <w:sz w:val="24"/>
        </w:rPr>
        <w:t>5. Periyodik Tekrar</w:t>
      </w:r>
    </w:p>
    <w:p>
      <w:r>
        <w:t>Risk değerlendirmesi yılda en az 1 kez tekrarlanır.</w:t>
      </w:r>
    </w:p>
    <w:p>
      <w:r>
        <w:t>Yeni varlık veya önemli değişiklik durumunda yeniden değerlendirme yapılır.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