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ERİŞİM KONTROL POLİTİKASI</w:t>
            </w:r>
          </w:p>
          <w:p>
            <w:r>
              <w:rPr>
                <w:b w:val="0"/>
                <w:sz w:val="21"/>
              </w:rPr>
              <w:t>Kapsam: Bilgi sistemleri, ağ kaynakları, veri tabanları ve fiziksel alanlara erişim.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Yetkisiz erişimi önlemek, kullanıcıların yalnızca iş gereği ihtiyaç duydukları bilgi ve kaynaklara erişmelerini sağlamak.</w:t>
      </w:r>
    </w:p>
    <w:p>
      <w:pPr>
        <w:spacing w:before="160" w:after="40"/>
      </w:pPr>
      <w:r>
        <w:rPr>
          <w:b/>
          <w:color w:val="7C9E0E"/>
          <w:sz w:val="24"/>
        </w:rPr>
        <w:t>2. Kapsam</w:t>
      </w:r>
    </w:p>
    <w:p>
      <w:r>
        <w:t>Şirket içi ve dışı tüm kullanıcılar (çalışanlar, tedarikçiler, ziyaretçiler) ve tüm bilgi sistemleri (ağ, sunucular, uygulamalar, veri depoları).</w:t>
      </w:r>
    </w:p>
    <w:p>
      <w:pPr>
        <w:spacing w:before="160" w:after="40"/>
      </w:pPr>
      <w:r>
        <w:rPr>
          <w:b/>
          <w:color w:val="7C9E0E"/>
          <w:sz w:val="24"/>
        </w:rPr>
        <w:t>3. Sorumluluklar</w:t>
      </w:r>
    </w:p>
    <w:p>
      <w:pPr>
        <w:pStyle w:val="ListBullet"/>
      </w:pPr>
      <w:r>
        <w:t>Sistem Yöneticisi: Kullanıcı hesaplarını oluşturur, yetkilendirir ve iptal eder.</w:t>
      </w:r>
    </w:p>
    <w:p>
      <w:pPr>
        <w:pStyle w:val="ListBullet"/>
      </w:pPr>
      <w:r>
        <w:t>Kullanıcılar: Kendi hesaplarının güvenliğinden sorumludur, şifrelerini gizli tutar.</w:t>
      </w:r>
    </w:p>
    <w:p>
      <w:pPr>
        <w:spacing w:before="160" w:after="40"/>
      </w:pPr>
      <w:r>
        <w:rPr>
          <w:b/>
          <w:color w:val="7C9E0E"/>
          <w:sz w:val="24"/>
        </w:rPr>
        <w:t>4. Uygulama Kuralları</w:t>
      </w:r>
    </w:p>
    <w:p>
      <w:pPr>
        <w:pStyle w:val="ListNumber"/>
      </w:pPr>
      <w:r>
        <w:t>Şifre Politikası: En az 8 karakter, büyük/küçük harf, rakam ve özel karakter içermeli; 90 günde bir değiştirilmeli; ortak kullanılmamalı.</w:t>
      </w:r>
    </w:p>
    <w:p>
      <w:pPr>
        <w:pStyle w:val="ListNumber"/>
      </w:pPr>
      <w:r>
        <w:t>Çok Faktörlü Kimlik Doğrulama (MFA): Uzaktan erişimlerde ve ayrıcalıklı hesaplarda MFA zorunludur.</w:t>
      </w:r>
    </w:p>
    <w:p>
      <w:pPr>
        <w:pStyle w:val="ListNumber"/>
      </w:pPr>
      <w:r>
        <w:t>Yetkilendirme: En az ayrıcalık ilkesi uygulanır; kullanıcılara yalnızca görevleri için gerekli yetkiler verilir.</w:t>
      </w:r>
    </w:p>
    <w:p>
      <w:pPr>
        <w:pStyle w:val="ListNumber"/>
      </w:pPr>
      <w:r>
        <w:t>Erişim İptali: Çalışan ayrılışında tüm erişim hakları en geç 24 saat içinde kaldırılır.</w:t>
      </w:r>
    </w:p>
    <w:p>
      <w:pPr>
        <w:spacing w:before="160" w:after="40"/>
      </w:pPr>
      <w:r>
        <w:rPr>
          <w:b/>
          <w:color w:val="7C9E0E"/>
          <w:sz w:val="24"/>
        </w:rPr>
        <w:t>5. Gözden Geçirme</w:t>
      </w:r>
    </w:p>
    <w:p>
      <w:r>
        <w:t>Erişim yetkileri 3 ayda bir gözden geçirilir.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