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İNSAN KAYNAKLARI GÜVENLİĞİ POLİTİKASI</w:t>
            </w:r>
          </w:p>
          <w:p>
            <w:r>
              <w:rPr>
                <w:b w:val="0"/>
                <w:sz w:val="21"/>
              </w:rPr>
              <w:t>Kapsam: İşe alım, görev değişikliği, işten ayrılma süreçleri.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Çalışanların işe alım öncesi, çalışma süresi ve işten ayrılma aşamalarında bilgi güvenliği risklerini minimize etmek.</w:t>
      </w:r>
    </w:p>
    <w:p>
      <w:pPr>
        <w:spacing w:before="160" w:after="40"/>
      </w:pPr>
      <w:r>
        <w:rPr>
          <w:b/>
          <w:color w:val="7C9E0E"/>
          <w:sz w:val="24"/>
        </w:rPr>
        <w:t>2. Sorumluluklar</w:t>
      </w:r>
    </w:p>
    <w:p>
      <w:pPr>
        <w:pStyle w:val="ListBullet"/>
      </w:pPr>
      <w:r>
        <w:t>İK / Yönetici: Aday değerlendirmesi, gizlilik sözleşmesi imzalatma, çıkış sürecini yönetme.</w:t>
      </w:r>
    </w:p>
    <w:p>
      <w:pPr>
        <w:spacing w:before="160" w:after="40"/>
      </w:pPr>
      <w:r>
        <w:rPr>
          <w:b/>
          <w:color w:val="7C9E0E"/>
          <w:sz w:val="24"/>
        </w:rPr>
        <w:t>3. Uygulama Kuralları</w:t>
      </w:r>
    </w:p>
    <w:p>
      <w:pPr>
        <w:pStyle w:val="ListNumber"/>
      </w:pPr>
      <w:r>
        <w:t>İşe Alım Öncesi: Adaylardan referans kontrolü ve sabıka kaydı (görev gerektiriyorsa) alınır. Gizlilik Taahhütnamesi imzalatılır.</w:t>
      </w:r>
    </w:p>
    <w:p>
      <w:pPr>
        <w:pStyle w:val="ListNumber"/>
      </w:pPr>
      <w:r>
        <w:t>Çalışma Süresi: Tüm çalışanlar yılda en az 1 kez bilgi güvenliği farkındalık eğitimine tabi tutulur.</w:t>
      </w:r>
    </w:p>
    <w:p>
      <w:pPr>
        <w:pStyle w:val="ListNumber"/>
      </w:pPr>
      <w:r>
        <w:t>İşten Ayrılma: Tüm şirket varlıkları (dizüstü, telefon, akıllı kart, belgeler) iade alınır; erişim hakları derhal kaldırılır.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