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tblLayout w:type="fixed"/>
        <w:tblLook w:firstColumn="1" w:firstRow="1" w:lastColumn="0" w:lastRow="0" w:noHBand="0" w:noVBand="1" w:val="04A0"/>
      </w:tblPr>
      <w:tblGrid>
        <w:gridCol w:w="2856"/>
        <w:gridCol w:w="7224"/>
      </w:tblGrid>
      <w:tr>
        <w:tc>
          <w:tcPr>
            <w:tcW w:type="dxa" w:w="2856"/>
            <w:tcBorders>
              <w:right w:val="single" w:sz="12" w:space="0" w:color="7C9E0E"/>
            </w:tcBorders>
            <w:shd w:val="clear" w:color="auto" w:fill="FFFFFF"/>
          </w:tcPr>
          <w:p>
            <w:pPr>
              <w:jc w:val="center"/>
            </w:pPr>
            <w:r>
              <w:rPr>
                <w:b/>
                <w:color w:val="7C9E0E"/>
                <w:sz w:val="22"/>
              </w:rPr>
              <w:t>LOGO</w:t>
            </w:r>
          </w:p>
        </w:tc>
        <w:tc>
          <w:tcPr>
            <w:tcW w:type="dxa" w:w="7224"/>
            <w:tcBorders>
              <w:left w:val="single" w:sz="12" w:space="0" w:color="7C9E0E"/>
            </w:tcBorders>
            <w:shd w:val="clear" w:color="auto" w:fill="FFFFFF"/>
          </w:tcPr>
          <w:p>
            <w:r>
              <w:rPr>
                <w:b/>
                <w:sz w:val="26"/>
              </w:rPr>
              <w:t>{FİRMA_UNVANI}</w:t>
            </w:r>
          </w:p>
          <w:p>
            <w:r>
              <w:rPr>
                <w:b w:val="0"/>
                <w:sz w:val="21"/>
              </w:rPr>
              <w:t>{FİRMA_ADRESI}</w:t>
            </w:r>
          </w:p>
          <w:p>
            <w:r>
              <w:rPr>
                <w:b/>
                <w:color w:val="7C9E0E"/>
                <w:sz w:val="25"/>
              </w:rPr>
              <w:t>TEDARİKÇİ GÜVENLİĞİ POLİTİKASI</w:t>
            </w:r>
          </w:p>
          <w:p>
            <w:r>
              <w:rPr>
                <w:b w:val="0"/>
                <w:sz w:val="21"/>
              </w:rPr>
              <w:t>Kapsam: Tedarikçiler, iş ortakları, dış hizmet sağlayıcılar.</w:t>
            </w:r>
          </w:p>
        </w:tc>
      </w:tr>
    </w:tbl>
    <w:p>
      <w:pPr>
        <w:spacing w:before="120"/>
      </w:pPr>
      <w:r>
        <w:rPr>
          <w:b/>
          <w:sz w:val="21"/>
        </w:rPr>
        <w:t xml:space="preserve">Revizyon: </w:t>
      </w:r>
      <w:r>
        <w:rPr>
          <w:b w:val="0"/>
          <w:sz w:val="21"/>
        </w:rPr>
        <w:t xml:space="preserve">{REVIZYON}    </w:t>
      </w:r>
      <w:r>
        <w:rPr>
          <w:b/>
          <w:sz w:val="21"/>
        </w:rPr>
        <w:t xml:space="preserve">Durum: </w:t>
      </w:r>
      <w:r>
        <w:rPr>
          <w:b w:val="0"/>
          <w:sz w:val="21"/>
        </w:rPr>
        <w:t xml:space="preserve">{DURUM}    </w:t>
      </w:r>
      <w:r>
        <w:rPr>
          <w:b/>
          <w:sz w:val="21"/>
        </w:rPr>
        <w:t xml:space="preserve">Tarih: </w:t>
      </w:r>
      <w:r>
        <w:rPr>
          <w:b w:val="0"/>
          <w:sz w:val="21"/>
        </w:rPr>
        <w:t>{TARIH}</w:t>
      </w:r>
    </w:p>
    <w:p>
      <w:pPr>
        <w:spacing w:before="160" w:after="40"/>
      </w:pPr>
      <w:r>
        <w:rPr>
          <w:b/>
          <w:color w:val="7C9E0E"/>
          <w:sz w:val="24"/>
        </w:rPr>
        <w:t>1. Amaç</w:t>
      </w:r>
    </w:p>
    <w:p>
      <w:r>
        <w:t>Tedarikçilerin bilgi güvenliği risklerini yönetmek ve şirket verilerinin üçüncü taraflarca korunmasını sağlamak.</w:t>
      </w:r>
    </w:p>
    <w:p>
      <w:pPr>
        <w:spacing w:before="160" w:after="40"/>
      </w:pPr>
      <w:r>
        <w:rPr>
          <w:b/>
          <w:color w:val="7C9E0E"/>
          <w:sz w:val="24"/>
        </w:rPr>
        <w:t>2. Sorumluluklar</w:t>
      </w:r>
    </w:p>
    <w:p>
      <w:pPr>
        <w:pStyle w:val="ListBullet"/>
      </w:pPr>
      <w:r>
        <w:t>Satınalma / BGYS: Tedarikçi değerlendirme ve sözleşme sürecini yürütür.</w:t>
      </w:r>
    </w:p>
    <w:p>
      <w:pPr>
        <w:spacing w:before="160" w:after="40"/>
      </w:pPr>
      <w:r>
        <w:rPr>
          <w:b/>
          <w:color w:val="7C9E0E"/>
          <w:sz w:val="24"/>
        </w:rPr>
        <w:t>3. Uygulama Kuralları</w:t>
      </w:r>
    </w:p>
    <w:p>
      <w:pPr>
        <w:pStyle w:val="ListNumber"/>
      </w:pPr>
      <w:r>
        <w:t>Tedarikçiler, güvenlik kriterlerine göre değerlendirilir.</w:t>
      </w:r>
    </w:p>
    <w:p>
      <w:pPr>
        <w:pStyle w:val="ListNumber"/>
      </w:pPr>
      <w:r>
        <w:t>Sözleşmelerde gizlilik, veri koruma ve olay bildirim yükümlülükleri açıkça belirtilir.</w:t>
      </w:r>
    </w:p>
    <w:p>
      <w:pPr>
        <w:pStyle w:val="ListNumber"/>
      </w:pPr>
      <w:r>
        <w:t>Tedarikçilere verilen erişim, iş gereği en az seviyede tutulur.</w:t>
      </w:r>
    </w:p>
    <w:p>
      <w:pPr>
        <w:pStyle w:val="ListNumber"/>
      </w:pPr>
      <w:r>
        <w:t>Tedarikçi performansı yıllık olarak gözden geçirilir.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