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pct" w:w="5000"/>
        <w:tblLayout w:type="fixed"/>
        <w:tblLook w:firstColumn="1" w:firstRow="1" w:lastColumn="0" w:lastRow="0" w:noHBand="0" w:noVBand="1" w:val="04A0"/>
      </w:tblPr>
      <w:tblGrid>
        <w:gridCol w:w="2856"/>
        <w:gridCol w:w="7224"/>
      </w:tblGrid>
      <w:tr>
        <w:tc>
          <w:tcPr>
            <w:tcW w:type="dxa" w:w="2856"/>
            <w:tcBorders>
              <w:right w:val="single" w:sz="12" w:space="0" w:color="7C9E0E"/>
            </w:tcBorders>
            <w:shd w:val="clear" w:color="auto" w:fill="FFFFFF"/>
          </w:tcPr>
          <w:p>
            <w:pPr>
              <w:jc w:val="center"/>
            </w:pPr>
            <w:r>
              <w:rPr>
                <w:b/>
                <w:color w:val="7C9E0E"/>
                <w:sz w:val="22"/>
              </w:rPr>
              <w:t>LOGO</w:t>
            </w:r>
          </w:p>
        </w:tc>
        <w:tc>
          <w:tcPr>
            <w:tcW w:type="dxa" w:w="7224"/>
            <w:tcBorders>
              <w:left w:val="single" w:sz="12" w:space="0" w:color="7C9E0E"/>
            </w:tcBorders>
            <w:shd w:val="clear" w:color="auto" w:fill="FFFFFF"/>
          </w:tcPr>
          <w:p>
            <w:r>
              <w:rPr>
                <w:b/>
                <w:sz w:val="26"/>
              </w:rPr>
              <w:t>{{firma_unvan}}</w:t>
            </w:r>
          </w:p>
          <w:p>
            <w:r>
              <w:rPr>
                <w:b w:val="0"/>
                <w:sz w:val="21"/>
              </w:rPr>
              <w:t>{{firma_adresi}}</w:t>
            </w:r>
          </w:p>
          <w:p>
            <w:r>
              <w:rPr>
                <w:b/>
                <w:color w:val="7C9E0E"/>
                <w:sz w:val="25"/>
              </w:rPr>
              <w:t>FIZIKSEL GÜVENLIK PROSEDÜRÜ</w:t>
            </w:r>
          </w:p>
          <w:p>
            <w:r>
              <w:rPr>
                <w:b w:val="0"/>
                <w:sz w:val="21"/>
              </w:rPr>
              <w:t>Kapsam: Ofis alanları, sunucu odası, depo alanları ve taşınabilir ekipmanlar.</w:t>
            </w:r>
          </w:p>
        </w:tc>
      </w:tr>
    </w:tbl>
    <w:p>
      <w:pPr>
        <w:spacing w:before="120"/>
      </w:pPr>
      <w:r>
        <w:rPr>
          <w:b/>
          <w:sz w:val="21"/>
        </w:rPr>
        <w:t xml:space="preserve">İlgili Politika: </w:t>
      </w:r>
      <w:r>
        <w:rPr>
          <w:b w:val="0"/>
          <w:sz w:val="21"/>
        </w:rPr>
        <w:t xml:space="preserve">Fiziksel ve Çevresel Güvenlik Politikası    </w:t>
      </w:r>
      <w:r>
        <w:rPr>
          <w:b/>
          <w:sz w:val="21"/>
        </w:rPr>
        <w:t xml:space="preserve">Prosedür Kodu: </w:t>
      </w:r>
      <w:r>
        <w:rPr>
          <w:b w:val="0"/>
          <w:sz w:val="21"/>
        </w:rPr>
        <w:t xml:space="preserve">BG.PRS.06    </w:t>
      </w:r>
      <w:r>
        <w:rPr>
          <w:b/>
          <w:sz w:val="21"/>
        </w:rPr>
        <w:t xml:space="preserve">Revizyon: </w:t>
      </w:r>
      <w:r>
        <w:rPr>
          <w:b w:val="0"/>
          <w:sz w:val="21"/>
        </w:rPr>
        <w:t>v1.0 – Nisan 2026</w:t>
      </w:r>
    </w:p>
    <w:p>
      <w:pPr>
        <w:spacing w:before="160"/>
      </w:pPr>
      <w:r>
        <w:rPr>
          <w:b/>
          <w:color w:val="7C9E0E"/>
          <w:sz w:val="24"/>
        </w:rPr>
        <w:t>1. Amaç</w:t>
      </w:r>
    </w:p>
    <w:p>
      <w:r>
        <w:t>{{firma_unvan}} ofis, sunucu odası ve diğer fiziksel alanlarının yetkisiz erişime, yangına, doğal afetlere ve diğer fiziksel tehditlere karşı korunmasını sağlamak.</w:t>
      </w:r>
    </w:p>
    <w:p>
      <w:pPr>
        <w:spacing w:before="160"/>
      </w:pPr>
      <w:r>
        <w:rPr>
          <w:b/>
          <w:color w:val="7C9E0E"/>
          <w:sz w:val="24"/>
        </w:rPr>
        <w:t>2. Kapsam</w:t>
      </w:r>
    </w:p>
    <w:p>
      <w:r>
        <w:t>Ofis alanları, sunucu odası, depo alanları ve taşınabilir ekipmanlar.</w:t>
      </w:r>
    </w:p>
    <w:p>
      <w:pPr>
        <w:spacing w:before="160"/>
      </w:pPr>
      <w:r>
        <w:rPr>
          <w:b/>
          <w:color w:val="7C9E0E"/>
          <w:sz w:val="24"/>
        </w:rPr>
        <w:t>3. Sorumluluklar</w:t>
      </w:r>
    </w:p>
    <w:p>
      <w:r>
        <w:t>Tesis Sorumlusu: Fiziksel güvenlik önlemlerinin uygulanması.</w:t>
      </w:r>
    </w:p>
    <w:p>
      <w:r>
        <w:t>Sistem Yöneticisi: Sunucu odası güvenliğinden sorumlu.</w:t>
      </w:r>
    </w:p>
    <w:p>
      <w:pPr>
        <w:spacing w:before="160"/>
      </w:pPr>
      <w:r>
        <w:rPr>
          <w:b/>
          <w:color w:val="7C9E0E"/>
          <w:sz w:val="24"/>
        </w:rPr>
        <w:t>4. Uygulama Adımları</w:t>
      </w:r>
    </w:p>
    <w:p>
      <w:pPr>
        <w:spacing w:before="80"/>
      </w:pPr>
      <w:r>
        <w:rPr>
          <w:b/>
          <w:color w:val="7C9E0E"/>
          <w:sz w:val="22"/>
        </w:rPr>
        <w:t>4.1. Sunucu Odası Güvenliği</w:t>
      </w:r>
    </w:p>
    <w:p>
      <w:r>
        <w:t>Sunucu odasına erişim yalnızca yetkili personel ile sınırlıdır.</w:t>
      </w:r>
    </w:p>
    <w:p>
      <w:r>
        <w:t>Erişim kaydı (kimlik kartı, biyometrik) tutulur.</w:t>
      </w:r>
    </w:p>
    <w:p>
      <w:r>
        <w:t>Kapı, otomatik kapanan ve kilitlenebilir özellikte olmalıdır.</w:t>
      </w:r>
    </w:p>
    <w:p>
      <w:r>
        <w:t>Yangın söndürme sistemi (tozlu/gazlı) ve duman dedektörleri bulunmalıdır.</w:t>
      </w:r>
    </w:p>
    <w:p>
      <w:r>
        <w:t>Isı ve nem kontrol sistemi (klima) mevcut olmalıdır.</w:t>
      </w:r>
    </w:p>
    <w:p>
      <w:r>
        <w:t>24/7 kamera kaydı yapılmalı ve 30 gün saklanmalıdır.</w:t>
      </w:r>
    </w:p>
    <w:p>
      <w:pPr>
        <w:spacing w:before="80"/>
      </w:pPr>
      <w:r>
        <w:rPr>
          <w:b/>
          <w:color w:val="7C9E0E"/>
          <w:sz w:val="22"/>
        </w:rPr>
        <w:t>4.2. Ofis Güvenliği</w:t>
      </w:r>
    </w:p>
    <w:p>
      <w:r>
        <w:t>Ziyaretçiler giriş-çıkış defterine kaydedilir.</w:t>
      </w:r>
    </w:p>
    <w:p>
      <w:r>
        <w:t>Ziyaretçiler refakat edilir.</w:t>
      </w:r>
    </w:p>
    <w:p>
      <w:r>
        <w:t>Yetkisiz kişilerin hassas alanlara girişi engellenir.</w:t>
      </w:r>
    </w:p>
    <w:p>
      <w:r>
        <w:t>Çalışan kimlik kartları görünür şekilde takılmalıdır.</w:t>
      </w:r>
    </w:p>
    <w:p>
      <w:r>
        <w:t>Acil çıkış yolları işaretlenmeli ve engelsiz olmalıdır.</w:t>
      </w:r>
    </w:p>
    <w:p>
      <w:pPr>
        <w:spacing w:before="80"/>
      </w:pPr>
      <w:r>
        <w:rPr>
          <w:b/>
          <w:color w:val="7C9E0E"/>
          <w:sz w:val="22"/>
        </w:rPr>
        <w:t>4.3. Taşınabilir Ekipman Güvenliği</w:t>
      </w:r>
    </w:p>
    <w:p>
      <w:r>
        <w:t>Taşınabilir cihazlar (dizüstü, tablet) kullanılmadığında kilitli dolaplarda muhafaza edilir.</w:t>
      </w:r>
    </w:p>
    <w:p>
      <w:r>
        <w:t>Cihazlar şifre veya biyometrik ile korunur.</w:t>
      </w:r>
    </w:p>
    <w:p>
      <w:r>
        <w:t>Cihaz kaybı/hırsızlığı halinde Olay Yönetimi Prosedürü devreye alınır.</w:t>
      </w:r>
    </w:p>
    <w:p>
      <w:pPr>
        <w:spacing w:before="80"/>
      </w:pPr>
      <w:r>
        <w:rPr>
          <w:b/>
          <w:color w:val="7C9E0E"/>
          <w:sz w:val="22"/>
        </w:rPr>
        <w:t>4.4. Periyodik Kontroller</w:t>
      </w:r>
    </w:p>
    <w:p>
      <w:r>
        <w:t>Yangın tüpleri 6 ayda bir kontrol edilir.</w:t>
      </w:r>
    </w:p>
    <w:p>
      <w:r>
        <w:t>Kamera sistemleri ayda bir test edilir.</w:t>
      </w:r>
    </w:p>
    <w:p>
      <w:r>
        <w:t>Acil durum tatbikatı yılda bir yapılır.</w:t>
      </w:r>
    </w:p>
    <w:p>
      <w:pPr>
        <w:spacing w:before="160"/>
      </w:pPr>
      <w:r>
        <w:rPr>
          <w:b/>
          <w:color w:val="7C9E0E"/>
          <w:sz w:val="24"/>
        </w:rPr>
        <w:t>5. Kayıt ve Dokümantasyon</w:t>
      </w:r>
    </w:p>
    <w:p>
      <w:r>
        <w:t>Ziyaretçi kayıtları 6 ay saklanır.</w:t>
      </w:r>
    </w:p>
    <w:p>
      <w:r>
        <w:t>Erişim logları 1 yıl saklanır.</w:t>
      </w:r>
    </w:p>
    <w:p>
      <w:r>
        <w:t>Fiziksel güvenlik kontrolleri Fiziksel Güvenlik Kontrol Formu'na kaydedilir.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