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İÇ DENETIM PROSEDÜRÜ</w:t>
            </w:r>
          </w:p>
          <w:p>
            <w:r>
              <w:rPr>
                <w:b w:val="0"/>
                <w:sz w:val="21"/>
              </w:rPr>
              <w:t>Kapsam: Tüm BGYS süreçleri, politikalar, prosedürler ve kontroller.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Bilgi Güvenliği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BG.PRS.14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BGYS uygulamalarının etkinliğini değerlendirmek ve ISO 27001:2022 uyumunu doğrulamak.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BGYS süreçleri, politikalar, prosedürler ve kontroller.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BGYS Temsilcisi: Denetim programını planlar.</w:t>
      </w:r>
    </w:p>
    <w:p>
      <w:r>
        <w:t>Denetçi(ler): Denetimi yürütür.</w:t>
      </w:r>
    </w:p>
    <w:p>
      <w:r>
        <w:t>Denetlenen Birim: Bulgulara yanıt verir.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Denetim Planlaması</w:t>
      </w:r>
    </w:p>
    <w:p>
      <w:r>
        <w:t>Yıllık Denetim Takvimi hazırlanır.</w:t>
      </w:r>
    </w:p>
    <w:p>
      <w:r>
        <w:t>Denetim kapsamı ve kriterleri belirlenir.</w:t>
      </w:r>
    </w:p>
    <w:p>
      <w:r>
        <w:t>Denetçi(ler) atanır (mümkünse bağımsız).</w:t>
      </w:r>
    </w:p>
    <w:p>
      <w:pPr>
        <w:spacing w:before="80"/>
      </w:pPr>
      <w:r>
        <w:rPr>
          <w:b/>
          <w:color w:val="7C9E0E"/>
          <w:sz w:val="22"/>
        </w:rPr>
        <w:t>4.2. Denetim Adımları</w:t>
      </w:r>
    </w:p>
    <w:p>
      <w:r>
        <w:t>Başlangıç Toplantısı: Kapsam ve plan paylaşılır.</w:t>
      </w:r>
    </w:p>
    <w:p>
      <w:r>
        <w:t>Doküman İncelemesi: Politika, prosedür, kayıtlar incelenir.</w:t>
      </w:r>
    </w:p>
    <w:p>
      <w:r>
        <w:t>Saha Gözlemleri: Uygulamalar yerinde gözlemlenir.</w:t>
      </w:r>
    </w:p>
    <w:p>
      <w:r>
        <w:t>Görüşmeler: Çalışanlarla görüşülür.</w:t>
      </w:r>
    </w:p>
    <w:p>
      <w:pPr>
        <w:spacing w:before="80"/>
      </w:pPr>
      <w:r>
        <w:rPr>
          <w:b/>
          <w:color w:val="7C9E0E"/>
          <w:sz w:val="22"/>
        </w:rPr>
        <w:t>4.3. Bulgu Sınıflandırması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Tür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Örnek</w:t>
            </w:r>
          </w:p>
        </w:tc>
      </w:tr>
      <w:tr>
        <w:tc>
          <w:tcPr>
            <w:tcW w:type="dxa" w:w="2880"/>
          </w:tcPr>
          <w:p>
            <w:r>
              <w:t>Major Uyumsuzluk</w:t>
            </w:r>
          </w:p>
        </w:tc>
        <w:tc>
          <w:tcPr>
            <w:tcW w:type="dxa" w:w="2880"/>
          </w:tcPr>
          <w:p>
            <w:r>
              <w:t>Sistemik hata, standarda aykırı</w:t>
            </w:r>
          </w:p>
        </w:tc>
        <w:tc>
          <w:tcPr>
            <w:tcW w:type="dxa" w:w="2880"/>
          </w:tcPr>
          <w:p>
            <w:r>
              <w:t>Risk analizi yapılmamış</w:t>
            </w:r>
          </w:p>
        </w:tc>
      </w:tr>
      <w:tr>
        <w:tc>
          <w:tcPr>
            <w:tcW w:type="dxa" w:w="2880"/>
          </w:tcPr>
          <w:p>
            <w:r>
              <w:t>Minor Uyumsuzluk</w:t>
            </w:r>
          </w:p>
        </w:tc>
        <w:tc>
          <w:tcPr>
            <w:tcW w:type="dxa" w:w="2880"/>
          </w:tcPr>
          <w:p>
            <w:r>
              <w:t>Bireysel hata, küçük eksiklik</w:t>
            </w:r>
          </w:p>
        </w:tc>
        <w:tc>
          <w:tcPr>
            <w:tcW w:type="dxa" w:w="2880"/>
          </w:tcPr>
          <w:p>
            <w:r>
              <w:t>Bir politika güncel değil</w:t>
            </w:r>
          </w:p>
        </w:tc>
      </w:tr>
      <w:tr>
        <w:tc>
          <w:tcPr>
            <w:tcW w:type="dxa" w:w="2880"/>
          </w:tcPr>
          <w:p>
            <w:r>
              <w:t>Gözlem</w:t>
            </w:r>
          </w:p>
        </w:tc>
        <w:tc>
          <w:tcPr>
            <w:tcW w:type="dxa" w:w="2880"/>
          </w:tcPr>
          <w:p>
            <w:r>
              <w:t>İyileştirme fırsatı</w:t>
            </w:r>
          </w:p>
        </w:tc>
        <w:tc>
          <w:tcPr>
            <w:tcW w:type="dxa" w:w="2880"/>
          </w:tcPr>
          <w:p>
            <w:r>
              <w:t>Süreç verimliliği</w:t>
            </w:r>
          </w:p>
        </w:tc>
      </w:tr>
      <w:tr>
        <w:tc>
          <w:tcPr>
            <w:tcW w:type="dxa" w:w="2880"/>
          </w:tcPr>
          <w:p>
            <w:r>
              <w:t>Fırsat</w:t>
            </w:r>
          </w:p>
        </w:tc>
        <w:tc>
          <w:tcPr>
            <w:tcW w:type="dxa" w:w="2880"/>
          </w:tcPr>
          <w:p>
            <w:r>
              <w:t>Proaktif iyileştirme</w:t>
            </w:r>
          </w:p>
        </w:tc>
        <w:tc>
          <w:tcPr>
            <w:tcW w:type="dxa" w:w="2880"/>
          </w:tcPr>
          <w:p>
            <w:r>
              <w:t>Yeni kontrol önerisi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4.4. Raporlama</w:t>
      </w:r>
    </w:p>
    <w:p>
      <w:r>
        <w:t>Denetim bulguları İç Denetim Raporu olarak hazırlanır.</w:t>
      </w:r>
    </w:p>
    <w:p>
      <w:r>
        <w:t>Bulgular DFİ'ye açılır (gerekirse).</w:t>
      </w:r>
    </w:p>
    <w:p>
      <w:r>
        <w:t>Rapor YGG toplantısında sunulur.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Denetim raporları 5 yıl saklanır.</w:t>
      </w:r>
    </w:p>
    <w:p>
      <w:r>
        <w:t>Denetim bulguları DFİ sistemine kaydedilir.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