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8773"/>
      </w:tblGrid>
      <w:tr w:rsidR="004840B8" w14:paraId="41344D0E" w14:textId="77777777" w:rsidTr="00A908C3">
        <w:trPr>
          <w:trHeight w:val="20"/>
        </w:trPr>
        <w:tc>
          <w:tcPr>
            <w:tcW w:w="1809" w:type="dxa"/>
          </w:tcPr>
          <w:p w14:paraId="2DD10E4A" w14:textId="0FE51745" w:rsidR="004840B8" w:rsidRDefault="004840B8" w:rsidP="004840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8773" w:type="dxa"/>
          </w:tcPr>
          <w:p w14:paraId="481DFB08" w14:textId="7A059736" w:rsidR="004840B8" w:rsidRDefault="004840B8" w:rsidP="004840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:Muhammad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Verri Andika Pratama</w:t>
            </w:r>
          </w:p>
        </w:tc>
      </w:tr>
      <w:tr w:rsidR="004840B8" w14:paraId="1728FD2C" w14:textId="77777777" w:rsidTr="00A908C3">
        <w:trPr>
          <w:trHeight w:val="20"/>
        </w:trPr>
        <w:tc>
          <w:tcPr>
            <w:tcW w:w="1809" w:type="dxa"/>
          </w:tcPr>
          <w:p w14:paraId="0E7CE230" w14:textId="4B237E68" w:rsidR="004840B8" w:rsidRDefault="004840B8" w:rsidP="004840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NIM</w:t>
            </w:r>
          </w:p>
        </w:tc>
        <w:tc>
          <w:tcPr>
            <w:tcW w:w="8773" w:type="dxa"/>
          </w:tcPr>
          <w:p w14:paraId="67FE0594" w14:textId="10FB2BBD" w:rsidR="004840B8" w:rsidRDefault="004840B8" w:rsidP="004840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:231240001452</w:t>
            </w:r>
          </w:p>
        </w:tc>
      </w:tr>
      <w:tr w:rsidR="004840B8" w14:paraId="486C7194" w14:textId="77777777" w:rsidTr="00A908C3">
        <w:trPr>
          <w:trHeight w:val="20"/>
        </w:trPr>
        <w:tc>
          <w:tcPr>
            <w:tcW w:w="1809" w:type="dxa"/>
          </w:tcPr>
          <w:p w14:paraId="1A8544DF" w14:textId="5A5BD4AE" w:rsidR="004840B8" w:rsidRDefault="004840B8" w:rsidP="004840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8773" w:type="dxa"/>
          </w:tcPr>
          <w:p w14:paraId="05AFE838" w14:textId="33D2C59D" w:rsidR="004840B8" w:rsidRDefault="004840B8" w:rsidP="00A908C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A908C3">
              <w:t xml:space="preserve">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Komparasi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Algoritma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CatBoost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Borderline‑SMOTE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Berbasis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Explainable AI</w:t>
            </w:r>
            <w:r w:rsid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(SHAP)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untuk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Deteksi</w:t>
            </w:r>
            <w:proofErr w:type="spellEnd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Dini</w:t>
            </w:r>
            <w:r w:rsid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Risiko Dropout </w:t>
            </w:r>
            <w:proofErr w:type="spellStart"/>
            <w:r w:rsidR="00A908C3" w:rsidRPr="00A908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Mahasiswa</w:t>
            </w:r>
            <w:proofErr w:type="spellEnd"/>
          </w:p>
        </w:tc>
      </w:tr>
    </w:tbl>
    <w:p w14:paraId="3891C862" w14:textId="77777777" w:rsidR="004840B8" w:rsidRDefault="004840B8" w:rsidP="004840B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1C4006" w14:textId="79F3C9A2" w:rsidR="00454DA7" w:rsidRDefault="00000000">
      <w:pPr>
        <w:pStyle w:val="Heading1"/>
        <w:jc w:val="center"/>
        <w:rPr>
          <w:rFonts w:ascii="Times New Roman" w:hAnsi="Times New Roman" w:cs="Times New Roman"/>
          <w:color w:val="auto"/>
        </w:rPr>
      </w:pPr>
      <w:r w:rsidRPr="004840B8">
        <w:rPr>
          <w:rFonts w:ascii="Times New Roman" w:hAnsi="Times New Roman" w:cs="Times New Roman"/>
          <w:color w:val="auto"/>
        </w:rPr>
        <w:t xml:space="preserve">Tabel </w:t>
      </w:r>
      <w:proofErr w:type="spellStart"/>
      <w:r w:rsidRPr="004840B8">
        <w:rPr>
          <w:rFonts w:ascii="Times New Roman" w:hAnsi="Times New Roman" w:cs="Times New Roman"/>
          <w:color w:val="auto"/>
        </w:rPr>
        <w:t>Pemetaan</w:t>
      </w:r>
      <w:proofErr w:type="spellEnd"/>
      <w:r w:rsidRPr="004840B8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4840B8">
        <w:rPr>
          <w:rFonts w:ascii="Times New Roman" w:hAnsi="Times New Roman" w:cs="Times New Roman"/>
          <w:color w:val="auto"/>
        </w:rPr>
        <w:t>Penelitian</w:t>
      </w:r>
      <w:proofErr w:type="spellEnd"/>
      <w:r w:rsidRPr="004840B8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4840B8">
        <w:rPr>
          <w:rFonts w:ascii="Times New Roman" w:hAnsi="Times New Roman" w:cs="Times New Roman"/>
          <w:color w:val="auto"/>
        </w:rPr>
        <w:t>Terdahulu</w:t>
      </w:r>
      <w:proofErr w:type="spellEnd"/>
      <w:r w:rsidRPr="004840B8">
        <w:rPr>
          <w:rFonts w:ascii="Times New Roman" w:hAnsi="Times New Roman" w:cs="Times New Roman"/>
          <w:color w:val="auto"/>
        </w:rPr>
        <w:t xml:space="preserve"> (State-of-the-Art)</w:t>
      </w:r>
    </w:p>
    <w:p w14:paraId="1EA34DFE" w14:textId="77777777" w:rsidR="004840B8" w:rsidRPr="004840B8" w:rsidRDefault="004840B8" w:rsidP="004840B8"/>
    <w:p w14:paraId="0CD1050B" w14:textId="77777777" w:rsidR="00454DA7" w:rsidRPr="004840B8" w:rsidRDefault="00000000" w:rsidP="004840B8">
      <w:pPr>
        <w:jc w:val="center"/>
        <w:rPr>
          <w:rFonts w:ascii="Times New Roman" w:hAnsi="Times New Roman" w:cs="Times New Roman"/>
        </w:rPr>
      </w:pPr>
      <w:proofErr w:type="spellStart"/>
      <w:r w:rsidRPr="004840B8">
        <w:rPr>
          <w:rFonts w:ascii="Times New Roman" w:hAnsi="Times New Roman" w:cs="Times New Roman"/>
        </w:rPr>
        <w:t>Rentang</w:t>
      </w:r>
      <w:proofErr w:type="spellEnd"/>
      <w:r w:rsidRPr="004840B8">
        <w:rPr>
          <w:rFonts w:ascii="Times New Roman" w:hAnsi="Times New Roman" w:cs="Times New Roman"/>
        </w:rPr>
        <w:t xml:space="preserve"> Waktu: 2024 - 2026 | Reputasi: Scopus Q1-Q2 / IEEE / Web of Science (Ekuivalen di atas SINTA 3)</w:t>
      </w:r>
      <w:r w:rsidRPr="004840B8">
        <w:rPr>
          <w:rFonts w:ascii="Times New Roman" w:hAnsi="Times New Roman" w:cs="Times New Roman"/>
        </w:rPr>
        <w:br/>
        <w:t>Domain: Educational Data Mining, Imbalanced Learning, Ensemble Learning &amp; Explainable AI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8"/>
        <w:gridCol w:w="1112"/>
        <w:gridCol w:w="2782"/>
        <w:gridCol w:w="1131"/>
        <w:gridCol w:w="1208"/>
        <w:gridCol w:w="986"/>
        <w:gridCol w:w="1554"/>
        <w:gridCol w:w="1608"/>
        <w:gridCol w:w="3807"/>
      </w:tblGrid>
      <w:tr w:rsidR="00454DA7" w:rsidRPr="004840B8" w14:paraId="5F74E768" w14:textId="77777777" w:rsidTr="004840B8">
        <w:tc>
          <w:tcPr>
            <w:tcW w:w="146" w:type="pct"/>
          </w:tcPr>
          <w:p w14:paraId="49BB28D3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380" w:type="pct"/>
          </w:tcPr>
          <w:p w14:paraId="2C19F87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Penulis &amp; Tahun</w:t>
            </w:r>
          </w:p>
        </w:tc>
        <w:tc>
          <w:tcPr>
            <w:tcW w:w="952" w:type="pct"/>
          </w:tcPr>
          <w:p w14:paraId="7B5E214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Judul Artikel &amp; Nama Jurnal / Penerbit</w:t>
            </w:r>
          </w:p>
        </w:tc>
        <w:tc>
          <w:tcPr>
            <w:tcW w:w="387" w:type="pct"/>
          </w:tcPr>
          <w:p w14:paraId="652FB38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Dataset &amp; Skala Data</w:t>
            </w:r>
          </w:p>
        </w:tc>
        <w:tc>
          <w:tcPr>
            <w:tcW w:w="413" w:type="pct"/>
          </w:tcPr>
          <w:p w14:paraId="72062883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Metode / Algoritma yang Digunakan</w:t>
            </w:r>
          </w:p>
        </w:tc>
        <w:tc>
          <w:tcPr>
            <w:tcW w:w="337" w:type="pct"/>
          </w:tcPr>
          <w:p w14:paraId="714D22D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Metrik Evaluasi</w:t>
            </w:r>
          </w:p>
        </w:tc>
        <w:tc>
          <w:tcPr>
            <w:tcW w:w="532" w:type="pct"/>
          </w:tcPr>
          <w:p w14:paraId="373DCE9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Hasil &amp; Temuan Utama</w:t>
            </w:r>
          </w:p>
        </w:tc>
        <w:tc>
          <w:tcPr>
            <w:tcW w:w="550" w:type="pct"/>
          </w:tcPr>
          <w:p w14:paraId="592B843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Celah Penelitian (Research Gap) &amp; Posisi Skripsi Anda</w:t>
            </w:r>
          </w:p>
        </w:tc>
        <w:tc>
          <w:tcPr>
            <w:tcW w:w="1302" w:type="pct"/>
          </w:tcPr>
          <w:p w14:paraId="757D355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  <w:b/>
              </w:rPr>
              <w:t>Tautan DOI Resmi (Verified)</w:t>
            </w:r>
          </w:p>
        </w:tc>
      </w:tr>
      <w:tr w:rsidR="00454DA7" w:rsidRPr="004840B8" w14:paraId="659753F0" w14:textId="77777777" w:rsidTr="004840B8">
        <w:tc>
          <w:tcPr>
            <w:tcW w:w="146" w:type="pct"/>
          </w:tcPr>
          <w:p w14:paraId="22DE6AA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" w:type="pct"/>
          </w:tcPr>
          <w:p w14:paraId="49AE7BC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Villar &amp; de Andrade (2024)</w:t>
            </w:r>
          </w:p>
        </w:tc>
        <w:tc>
          <w:tcPr>
            <w:tcW w:w="952" w:type="pct"/>
          </w:tcPr>
          <w:p w14:paraId="45CE9B5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Supervised machine learning algorithms for predicting student dropout and academic success: a comparative study</w:t>
            </w:r>
            <w:r w:rsidRPr="004840B8">
              <w:rPr>
                <w:rFonts w:ascii="Times New Roman" w:hAnsi="Times New Roman" w:cs="Times New Roman"/>
              </w:rPr>
              <w:br/>
              <w:t>— Discover Artificial Intelligence (Springer Nature), Vol. 4, Art. 79</w:t>
            </w:r>
          </w:p>
        </w:tc>
        <w:tc>
          <w:tcPr>
            <w:tcW w:w="387" w:type="pct"/>
          </w:tcPr>
          <w:p w14:paraId="2229441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Dataset Mahasiswa UCI (ID: 697), 4.424 baris, 36 fitur</w:t>
            </w:r>
          </w:p>
        </w:tc>
        <w:tc>
          <w:tcPr>
            <w:tcW w:w="413" w:type="pct"/>
          </w:tcPr>
          <w:p w14:paraId="24264C7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Random Forest, SVM, Naive Bayes, Decision Tree + SMOTE Standar</w:t>
            </w:r>
          </w:p>
        </w:tc>
        <w:tc>
          <w:tcPr>
            <w:tcW w:w="337" w:type="pct"/>
          </w:tcPr>
          <w:p w14:paraId="6C508C2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Akurasi, Precision, Recall, F1-Score</w:t>
            </w:r>
          </w:p>
        </w:tc>
        <w:tc>
          <w:tcPr>
            <w:tcW w:w="532" w:type="pct"/>
          </w:tcPr>
          <w:p w14:paraId="691EB2D3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SMOTE terbukti meningkatkan nilai Recall pada Random Forest dalam mengenali mahasiswa yang berisiko dropout dibandingkan tanpa oversampling.</w:t>
            </w:r>
          </w:p>
        </w:tc>
        <w:tc>
          <w:tcPr>
            <w:tcW w:w="550" w:type="pct"/>
          </w:tcPr>
          <w:p w14:paraId="59BF3B1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Menggunakan SMOTE konvensional yang menyintesis sampel secara acak tanpa memperhatikan kedekatan batas keputusan (decision boundary), serta model masih bersifat black-box tanpa XAI.</w:t>
            </w:r>
            <w:r w:rsidRPr="004840B8">
              <w:rPr>
                <w:rFonts w:ascii="Times New Roman" w:hAnsi="Times New Roman" w:cs="Times New Roman"/>
              </w:rPr>
              <w:br/>
            </w:r>
            <w:r w:rsidRPr="004840B8">
              <w:rPr>
                <w:rFonts w:ascii="Times New Roman" w:hAnsi="Times New Roman" w:cs="Times New Roman"/>
              </w:rPr>
              <w:lastRenderedPageBreak/>
              <w:t>-&gt; Posisi Skripsi: Menerapkan Borderline-SMOTE dan SHAP untuk interpretasi.</w:t>
            </w:r>
          </w:p>
        </w:tc>
        <w:tc>
          <w:tcPr>
            <w:tcW w:w="1302" w:type="pct"/>
          </w:tcPr>
          <w:p w14:paraId="1849E307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https://doi.org/10.1007/s44163-023-00079-z</w:t>
            </w:r>
          </w:p>
        </w:tc>
      </w:tr>
      <w:tr w:rsidR="00454DA7" w:rsidRPr="004840B8" w14:paraId="2838C277" w14:textId="77777777" w:rsidTr="004840B8">
        <w:tc>
          <w:tcPr>
            <w:tcW w:w="146" w:type="pct"/>
          </w:tcPr>
          <w:p w14:paraId="797C1A9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0" w:type="pct"/>
          </w:tcPr>
          <w:p w14:paraId="29141A9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Panthakit &amp; Boonperm (2024)</w:t>
            </w:r>
          </w:p>
        </w:tc>
        <w:tc>
          <w:tcPr>
            <w:tcW w:w="952" w:type="pct"/>
          </w:tcPr>
          <w:p w14:paraId="034D250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Student Dropout Prediction Using Machine Learning</w:t>
            </w:r>
            <w:r w:rsidRPr="004840B8">
              <w:rPr>
                <w:rFonts w:ascii="Times New Roman" w:hAnsi="Times New Roman" w:cs="Times New Roman"/>
              </w:rPr>
              <w:br/>
              <w:t>— 2024 9th International Conference on Business and Industrial Research (ICBIR), IEEE</w:t>
            </w:r>
          </w:p>
        </w:tc>
        <w:tc>
          <w:tcPr>
            <w:tcW w:w="387" w:type="pct"/>
          </w:tcPr>
          <w:p w14:paraId="4192D915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Dataset Mahasiswa Universitas</w:t>
            </w:r>
            <w:r w:rsidRPr="004840B8">
              <w:rPr>
                <w:rFonts w:ascii="Times New Roman" w:hAnsi="Times New Roman" w:cs="Times New Roman"/>
              </w:rPr>
              <w:br/>
              <w:t>2.000+ data</w:t>
            </w:r>
          </w:p>
        </w:tc>
        <w:tc>
          <w:tcPr>
            <w:tcW w:w="413" w:type="pct"/>
          </w:tcPr>
          <w:p w14:paraId="399EDC6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Random Forest, XGBoost, Naive Bayes</w:t>
            </w:r>
          </w:p>
        </w:tc>
        <w:tc>
          <w:tcPr>
            <w:tcW w:w="337" w:type="pct"/>
          </w:tcPr>
          <w:p w14:paraId="1E7A9A9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Akurasi, F1-Score</w:t>
            </w:r>
          </w:p>
        </w:tc>
        <w:tc>
          <w:tcPr>
            <w:tcW w:w="532" w:type="pct"/>
          </w:tcPr>
          <w:p w14:paraId="608847CC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Algoritma berbasis Tree mendominasi kemampuan deteksi dropout awal</w:t>
            </w:r>
          </w:p>
        </w:tc>
        <w:tc>
          <w:tcPr>
            <w:tcW w:w="550" w:type="pct"/>
          </w:tcPr>
          <w:p w14:paraId="673753D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Tidak menggunakan optimasi imbalance khusus. -&gt; Posisi Skripsi: Optimasi Borderline-SMOTE sebelum training XGBoost</w:t>
            </w:r>
          </w:p>
        </w:tc>
        <w:tc>
          <w:tcPr>
            <w:tcW w:w="1302" w:type="pct"/>
          </w:tcPr>
          <w:p w14:paraId="50996807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10.1109/icbir61386.2024.10875840</w:t>
            </w:r>
          </w:p>
        </w:tc>
      </w:tr>
      <w:tr w:rsidR="00454DA7" w:rsidRPr="004840B8" w14:paraId="4EA754E1" w14:textId="77777777" w:rsidTr="004840B8">
        <w:tc>
          <w:tcPr>
            <w:tcW w:w="146" w:type="pct"/>
          </w:tcPr>
          <w:p w14:paraId="2489149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0" w:type="pct"/>
          </w:tcPr>
          <w:p w14:paraId="39E8AC84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Nti &amp; Ramanayake (2026)</w:t>
            </w:r>
          </w:p>
        </w:tc>
        <w:tc>
          <w:tcPr>
            <w:tcW w:w="952" w:type="pct"/>
          </w:tcPr>
          <w:p w14:paraId="2E2F29D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Explainable machine learning for student dropout prediction and tailored interventions in online personalized education</w:t>
            </w:r>
            <w:r w:rsidRPr="004840B8">
              <w:rPr>
                <w:rFonts w:ascii="Times New Roman" w:hAnsi="Times New Roman" w:cs="Times New Roman"/>
              </w:rPr>
              <w:br/>
              <w:t>— Discover Artificial Intelligence (Springer Nature), Vol. 6, Art. 1016</w:t>
            </w:r>
          </w:p>
        </w:tc>
        <w:tc>
          <w:tcPr>
            <w:tcW w:w="387" w:type="pct"/>
          </w:tcPr>
          <w:p w14:paraId="6265919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multidimensi mahasiswa pendidikan tinggi</w:t>
            </w:r>
          </w:p>
        </w:tc>
        <w:tc>
          <w:tcPr>
            <w:tcW w:w="413" w:type="pct"/>
          </w:tcPr>
          <w:p w14:paraId="6D8F68A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Ensemble Gradient Boosting + Explainable AI (SHAP &amp; LIME)</w:t>
            </w:r>
          </w:p>
        </w:tc>
        <w:tc>
          <w:tcPr>
            <w:tcW w:w="337" w:type="pct"/>
          </w:tcPr>
          <w:p w14:paraId="31AED936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F1-Score, ROC-AUC, Mean Absolute SHAP Value</w:t>
            </w:r>
          </w:p>
        </w:tc>
        <w:tc>
          <w:tcPr>
            <w:tcW w:w="532" w:type="pct"/>
          </w:tcPr>
          <w:p w14:paraId="1BCFC0E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XAI mampu mengungkap bahwa capaian kredit semester awal dan interaksi sistem perkuliahan adalah prediktor paling signifikan pemicu putus studi.</w:t>
            </w:r>
          </w:p>
        </w:tc>
        <w:tc>
          <w:tcPr>
            <w:tcW w:w="550" w:type="pct"/>
          </w:tcPr>
          <w:p w14:paraId="0C2891C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Fokus utama pada sistem e-learning daring tanpa membedah penanganan ketimpangan data secara spesifik menggunakan teknik resampling berbasis batas keputusan (borderline sampling).</w:t>
            </w:r>
            <w:r w:rsidRPr="004840B8">
              <w:rPr>
                <w:rFonts w:ascii="Times New Roman" w:hAnsi="Times New Roman" w:cs="Times New Roman"/>
              </w:rPr>
              <w:br/>
              <w:t xml:space="preserve">-&gt; Posisi </w:t>
            </w:r>
            <w:r w:rsidRPr="004840B8">
              <w:rPr>
                <w:rFonts w:ascii="Times New Roman" w:hAnsi="Times New Roman" w:cs="Times New Roman"/>
              </w:rPr>
              <w:lastRenderedPageBreak/>
              <w:t>Skripsi: Menggabungkan Borderline-SMOTE dengan visualisasi SHAP Waterfall individual.</w:t>
            </w:r>
          </w:p>
        </w:tc>
        <w:tc>
          <w:tcPr>
            <w:tcW w:w="1302" w:type="pct"/>
          </w:tcPr>
          <w:p w14:paraId="0B6C23D5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https://doi.org/10.1007/s44163-026-01016-6</w:t>
            </w:r>
          </w:p>
        </w:tc>
      </w:tr>
      <w:tr w:rsidR="00454DA7" w:rsidRPr="004840B8" w14:paraId="0FFD6366" w14:textId="77777777" w:rsidTr="004840B8">
        <w:tc>
          <w:tcPr>
            <w:tcW w:w="146" w:type="pct"/>
          </w:tcPr>
          <w:p w14:paraId="047025E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80" w:type="pct"/>
          </w:tcPr>
          <w:p w14:paraId="5D6B443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Bettahi, Belouadha, &amp; Harroud (2025)</w:t>
            </w:r>
          </w:p>
        </w:tc>
        <w:tc>
          <w:tcPr>
            <w:tcW w:w="952" w:type="pct"/>
          </w:tcPr>
          <w:p w14:paraId="7725EE3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 Modular and Explainable Machine Learning Pipeline for Student Dropout Prediction in Higher Education</w:t>
            </w:r>
            <w:r w:rsidRPr="004840B8">
              <w:rPr>
                <w:rFonts w:ascii="Times New Roman" w:hAnsi="Times New Roman" w:cs="Times New Roman"/>
              </w:rPr>
              <w:br/>
              <w:t>— Algorithms (MDPI), Vol. 18, Iss. 10, Art. 662</w:t>
            </w:r>
          </w:p>
        </w:tc>
        <w:tc>
          <w:tcPr>
            <w:tcW w:w="387" w:type="pct"/>
          </w:tcPr>
          <w:p w14:paraId="053193B3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registrasi dan evaluasi akademik universitas</w:t>
            </w:r>
          </w:p>
        </w:tc>
        <w:tc>
          <w:tcPr>
            <w:tcW w:w="413" w:type="pct"/>
          </w:tcPr>
          <w:p w14:paraId="59FBDF1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Pipeline Modular Machine Learning (Tree Ensembles) + SHAP</w:t>
            </w:r>
          </w:p>
        </w:tc>
        <w:tc>
          <w:tcPr>
            <w:tcW w:w="337" w:type="pct"/>
          </w:tcPr>
          <w:p w14:paraId="2EAB585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Precision, Recall, F1-Score, SHAP Global Attribution</w:t>
            </w:r>
          </w:p>
        </w:tc>
        <w:tc>
          <w:tcPr>
            <w:tcW w:w="532" w:type="pct"/>
          </w:tcPr>
          <w:p w14:paraId="7E69D926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Menunjukkan bahwa pipeline terstandarisasi meningkatkan keterulangan (reproducibility) model dan keterbukaan faktor penyebab kegagalan studi.</w:t>
            </w:r>
          </w:p>
        </w:tc>
        <w:tc>
          <w:tcPr>
            <w:tcW w:w="550" w:type="pct"/>
          </w:tcPr>
          <w:p w14:paraId="3DBC803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Arsitektur pipeline belum mengintegrasikan pengujian komparatif algoritma CatBoost terhadap penanganan fitur demografi-kategorikal berskala besar.</w:t>
            </w:r>
            <w:r w:rsidRPr="004840B8">
              <w:rPr>
                <w:rFonts w:ascii="Times New Roman" w:hAnsi="Times New Roman" w:cs="Times New Roman"/>
              </w:rPr>
              <w:br/>
              <w:t>-&gt; Posisi Skripsi: Menyajikan komparasi mendalam CatBoost vs XGBoost pada atribut sosio-ekonomi kampus.</w:t>
            </w:r>
          </w:p>
        </w:tc>
        <w:tc>
          <w:tcPr>
            <w:tcW w:w="1302" w:type="pct"/>
          </w:tcPr>
          <w:p w14:paraId="038E952C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https://doi.org/10.3390/a18100662</w:t>
            </w:r>
          </w:p>
        </w:tc>
      </w:tr>
      <w:tr w:rsidR="00454DA7" w:rsidRPr="004840B8" w14:paraId="28746EF3" w14:textId="77777777" w:rsidTr="004840B8">
        <w:tc>
          <w:tcPr>
            <w:tcW w:w="146" w:type="pct"/>
          </w:tcPr>
          <w:p w14:paraId="06DAEC3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80" w:type="pct"/>
          </w:tcPr>
          <w:p w14:paraId="17A3C6C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Albugami, Wali, &amp; Almagrabi (2026)</w:t>
            </w:r>
          </w:p>
        </w:tc>
        <w:tc>
          <w:tcPr>
            <w:tcW w:w="952" w:type="pct"/>
          </w:tcPr>
          <w:p w14:paraId="010CA16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Predicting student dropout in Saudi Universities using machine learning and explainable AI</w:t>
            </w:r>
            <w:r w:rsidRPr="004840B8">
              <w:rPr>
                <w:rFonts w:ascii="Times New Roman" w:hAnsi="Times New Roman" w:cs="Times New Roman"/>
              </w:rPr>
              <w:br/>
            </w:r>
            <w:r w:rsidRPr="004840B8">
              <w:rPr>
                <w:rFonts w:ascii="Times New Roman" w:hAnsi="Times New Roman" w:cs="Times New Roman"/>
              </w:rPr>
              <w:lastRenderedPageBreak/>
              <w:t>— PeerJ Computer Science, Vol. 12, e3490</w:t>
            </w:r>
          </w:p>
        </w:tc>
        <w:tc>
          <w:tcPr>
            <w:tcW w:w="387" w:type="pct"/>
          </w:tcPr>
          <w:p w14:paraId="5C97896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5.000+ data akademik mahasisw</w:t>
            </w:r>
            <w:r w:rsidRPr="004840B8">
              <w:rPr>
                <w:rFonts w:ascii="Times New Roman" w:hAnsi="Times New Roman" w:cs="Times New Roman"/>
              </w:rPr>
              <w:lastRenderedPageBreak/>
              <w:t>a perguruan tinggi</w:t>
            </w:r>
          </w:p>
        </w:tc>
        <w:tc>
          <w:tcPr>
            <w:tcW w:w="413" w:type="pct"/>
          </w:tcPr>
          <w:p w14:paraId="3C7E669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 xml:space="preserve">Random Forest, Gradient Boosting, </w:t>
            </w:r>
            <w:r w:rsidRPr="004840B8">
              <w:rPr>
                <w:rFonts w:ascii="Times New Roman" w:hAnsi="Times New Roman" w:cs="Times New Roman"/>
              </w:rPr>
              <w:lastRenderedPageBreak/>
              <w:t>XGBoost + SHAP TreeExplainer</w:t>
            </w:r>
          </w:p>
        </w:tc>
        <w:tc>
          <w:tcPr>
            <w:tcW w:w="337" w:type="pct"/>
          </w:tcPr>
          <w:p w14:paraId="5831B88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 xml:space="preserve">Accuracy, Recall, Macro </w:t>
            </w:r>
            <w:r w:rsidRPr="004840B8">
              <w:rPr>
                <w:rFonts w:ascii="Times New Roman" w:hAnsi="Times New Roman" w:cs="Times New Roman"/>
              </w:rPr>
              <w:lastRenderedPageBreak/>
              <w:t>F1, ROC-AUC</w:t>
            </w:r>
          </w:p>
        </w:tc>
        <w:tc>
          <w:tcPr>
            <w:tcW w:w="532" w:type="pct"/>
          </w:tcPr>
          <w:p w14:paraId="06818D9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 xml:space="preserve">Penggunaan SHAP membuktikan bahwa riwayat </w:t>
            </w:r>
            <w:r w:rsidRPr="004840B8">
              <w:rPr>
                <w:rFonts w:ascii="Times New Roman" w:hAnsi="Times New Roman" w:cs="Times New Roman"/>
              </w:rPr>
              <w:lastRenderedPageBreak/>
              <w:t>IPK semester pertama dan status beasiswa merupakan pembeda utama antara mahasiswa bertahan vs dropout.</w:t>
            </w:r>
          </w:p>
        </w:tc>
        <w:tc>
          <w:tcPr>
            <w:tcW w:w="550" w:type="pct"/>
          </w:tcPr>
          <w:p w14:paraId="3322365F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 xml:space="preserve">Penelitian tidak meneliti secara mendalam optimasi </w:t>
            </w:r>
            <w:r w:rsidRPr="004840B8">
              <w:rPr>
                <w:rFonts w:ascii="Times New Roman" w:hAnsi="Times New Roman" w:cs="Times New Roman"/>
              </w:rPr>
              <w:lastRenderedPageBreak/>
              <w:t>penanganan data tidak seimbang di tingkat data pre-processing (data-level resampling).</w:t>
            </w:r>
            <w:r w:rsidRPr="004840B8">
              <w:rPr>
                <w:rFonts w:ascii="Times New Roman" w:hAnsi="Times New Roman" w:cs="Times New Roman"/>
              </w:rPr>
              <w:br/>
              <w:t>-&gt; Posisi Skripsi: Mengkaji efektivitas Borderline-SMOTE sebelum tahap training ensemble.</w:t>
            </w:r>
          </w:p>
        </w:tc>
        <w:tc>
          <w:tcPr>
            <w:tcW w:w="1302" w:type="pct"/>
          </w:tcPr>
          <w:p w14:paraId="428CA3C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https://doi.org/10.7717/peerj-cs.3490</w:t>
            </w:r>
          </w:p>
        </w:tc>
      </w:tr>
      <w:tr w:rsidR="00454DA7" w:rsidRPr="004840B8" w14:paraId="515C36B3" w14:textId="77777777" w:rsidTr="004840B8">
        <w:tc>
          <w:tcPr>
            <w:tcW w:w="146" w:type="pct"/>
          </w:tcPr>
          <w:p w14:paraId="15D12FB4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80" w:type="pct"/>
          </w:tcPr>
          <w:p w14:paraId="151FD48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Devkishan, Singh, &amp; Bharti (2024)</w:t>
            </w:r>
          </w:p>
        </w:tc>
        <w:tc>
          <w:tcPr>
            <w:tcW w:w="952" w:type="pct"/>
          </w:tcPr>
          <w:p w14:paraId="0129D5A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Implementation of Machine Learning and Ensemble Learning Techniques to Proactively Predict Students' Academic Success in the Realm of Higher Education</w:t>
            </w:r>
            <w:r w:rsidRPr="004840B8">
              <w:rPr>
                <w:rFonts w:ascii="Times New Roman" w:hAnsi="Times New Roman" w:cs="Times New Roman"/>
              </w:rPr>
              <w:br/>
              <w:t>— IEEE ICTACS 2024 (IEEE Xplore), DOI: 10.1109/ictacs62700.2024.10840530</w:t>
            </w:r>
          </w:p>
        </w:tc>
        <w:tc>
          <w:tcPr>
            <w:tcW w:w="387" w:type="pct"/>
          </w:tcPr>
          <w:p w14:paraId="3CF5420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akademik pendidikan tinggi (4.424 baris, 36 fitur)</w:t>
            </w:r>
          </w:p>
        </w:tc>
        <w:tc>
          <w:tcPr>
            <w:tcW w:w="413" w:type="pct"/>
          </w:tcPr>
          <w:p w14:paraId="27F1E2E7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Voting Ensemble, Bagging, Gradient Boosting</w:t>
            </w:r>
          </w:p>
        </w:tc>
        <w:tc>
          <w:tcPr>
            <w:tcW w:w="337" w:type="pct"/>
          </w:tcPr>
          <w:p w14:paraId="059A824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Akurasi, Precision, Recall</w:t>
            </w:r>
          </w:p>
        </w:tc>
        <w:tc>
          <w:tcPr>
            <w:tcW w:w="532" w:type="pct"/>
          </w:tcPr>
          <w:p w14:paraId="13838BEC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Model ensemble secara konsisten mengungguli model tunggal (single decision tree) dalam memprediksi retensi mahasiswa.</w:t>
            </w:r>
          </w:p>
        </w:tc>
        <w:tc>
          <w:tcPr>
            <w:tcW w:w="550" w:type="pct"/>
          </w:tcPr>
          <w:p w14:paraId="389B98D4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Evaluasi hanya berpusat pada akurasi global dan model berstatus black-box tanpa memberikan modul penjelasan individual kepada dosen wali.</w:t>
            </w:r>
            <w:r w:rsidRPr="004840B8">
              <w:rPr>
                <w:rFonts w:ascii="Times New Roman" w:hAnsi="Times New Roman" w:cs="Times New Roman"/>
              </w:rPr>
              <w:br/>
              <w:t xml:space="preserve">-&gt; Posisi Skripsi: Menghadirkan prototipe sistem peringatan dini (Streamlit) dengan kartu </w:t>
            </w:r>
            <w:r w:rsidRPr="004840B8">
              <w:rPr>
                <w:rFonts w:ascii="Times New Roman" w:hAnsi="Times New Roman" w:cs="Times New Roman"/>
              </w:rPr>
              <w:lastRenderedPageBreak/>
              <w:t>analisis SHAP individual.</w:t>
            </w:r>
          </w:p>
        </w:tc>
        <w:tc>
          <w:tcPr>
            <w:tcW w:w="1302" w:type="pct"/>
          </w:tcPr>
          <w:p w14:paraId="4442CA6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https://doi.org/10.1109/ictacs62700.2024.10840530</w:t>
            </w:r>
          </w:p>
        </w:tc>
      </w:tr>
      <w:tr w:rsidR="00454DA7" w:rsidRPr="004840B8" w14:paraId="1ADAD7BF" w14:textId="77777777" w:rsidTr="004840B8">
        <w:tc>
          <w:tcPr>
            <w:tcW w:w="146" w:type="pct"/>
          </w:tcPr>
          <w:p w14:paraId="59AB43F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80" w:type="pct"/>
          </w:tcPr>
          <w:p w14:paraId="1A5B843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Alhudhaif et al. (2024)</w:t>
            </w:r>
          </w:p>
        </w:tc>
        <w:tc>
          <w:tcPr>
            <w:tcW w:w="952" w:type="pct"/>
          </w:tcPr>
          <w:p w14:paraId="43EC2D3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AI student success predictor: Enhancing personalized learning in campus management systems</w:t>
            </w:r>
            <w:r w:rsidRPr="004840B8">
              <w:rPr>
                <w:rFonts w:ascii="Times New Roman" w:hAnsi="Times New Roman" w:cs="Times New Roman"/>
              </w:rPr>
              <w:br/>
              <w:t>— Computers in Human Behavior (Elsevier BV)</w:t>
            </w:r>
          </w:p>
        </w:tc>
        <w:tc>
          <w:tcPr>
            <w:tcW w:w="387" w:type="pct"/>
          </w:tcPr>
          <w:p w14:paraId="56904F4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interaksi e-learning</w:t>
            </w:r>
          </w:p>
        </w:tc>
        <w:tc>
          <w:tcPr>
            <w:tcW w:w="413" w:type="pct"/>
          </w:tcPr>
          <w:p w14:paraId="793E59F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Random Forest, XGBoost</w:t>
            </w:r>
          </w:p>
        </w:tc>
        <w:tc>
          <w:tcPr>
            <w:tcW w:w="337" w:type="pct"/>
          </w:tcPr>
          <w:p w14:paraId="680F412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Akurasi, AUC-ROC</w:t>
            </w:r>
          </w:p>
        </w:tc>
        <w:tc>
          <w:tcPr>
            <w:tcW w:w="532" w:type="pct"/>
          </w:tcPr>
          <w:p w14:paraId="2C42A9DE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Implementasi prediktor dropout sukses meningkatkan retensi di manajemen kampus</w:t>
            </w:r>
          </w:p>
        </w:tc>
        <w:tc>
          <w:tcPr>
            <w:tcW w:w="550" w:type="pct"/>
          </w:tcPr>
          <w:p w14:paraId="147B6E7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Fokus pada aktivitas interaksi (log) daring. -&gt; Posisi Skripsi: Fokus pada dataset sosio-ekonomi dan demografis dari rekaman awal registrasi.</w:t>
            </w:r>
          </w:p>
        </w:tc>
        <w:tc>
          <w:tcPr>
            <w:tcW w:w="1302" w:type="pct"/>
          </w:tcPr>
          <w:p w14:paraId="5E48686C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10.1016/j.chb.2024.108301</w:t>
            </w:r>
          </w:p>
        </w:tc>
      </w:tr>
      <w:tr w:rsidR="00454DA7" w:rsidRPr="004840B8" w14:paraId="6DFA062C" w14:textId="77777777" w:rsidTr="004840B8">
        <w:tc>
          <w:tcPr>
            <w:tcW w:w="146" w:type="pct"/>
          </w:tcPr>
          <w:p w14:paraId="58936C1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80" w:type="pct"/>
          </w:tcPr>
          <w:p w14:paraId="2AA58C10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Masood et al. (2024)</w:t>
            </w:r>
          </w:p>
        </w:tc>
        <w:tc>
          <w:tcPr>
            <w:tcW w:w="952" w:type="pct"/>
          </w:tcPr>
          <w:p w14:paraId="2BFB0B05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Optimised SMOTE-based Imbalanced Learning for Student Dropout Prediction</w:t>
            </w:r>
            <w:r w:rsidRPr="004840B8">
              <w:rPr>
                <w:rFonts w:ascii="Times New Roman" w:hAnsi="Times New Roman" w:cs="Times New Roman"/>
              </w:rPr>
              <w:br/>
              <w:t>— Arabian Journal for Science and Engineering (Springer Nature)</w:t>
            </w:r>
          </w:p>
        </w:tc>
        <w:tc>
          <w:tcPr>
            <w:tcW w:w="387" w:type="pct"/>
          </w:tcPr>
          <w:p w14:paraId="58E2840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akademik imbalanced</w:t>
            </w:r>
          </w:p>
        </w:tc>
        <w:tc>
          <w:tcPr>
            <w:tcW w:w="413" w:type="pct"/>
          </w:tcPr>
          <w:p w14:paraId="04F0BA46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SMOTE + Machine Learning</w:t>
            </w:r>
          </w:p>
        </w:tc>
        <w:tc>
          <w:tcPr>
            <w:tcW w:w="337" w:type="pct"/>
          </w:tcPr>
          <w:p w14:paraId="2226B0D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Akurasi, Precision, Recall</w:t>
            </w:r>
          </w:p>
        </w:tc>
        <w:tc>
          <w:tcPr>
            <w:tcW w:w="532" w:type="pct"/>
          </w:tcPr>
          <w:p w14:paraId="415B4F1F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Teknik SMOTE yang dioptimalkan berhasil mengatasi ketidakseimbangan kelas pada data dropout pendidikan tinggi.</w:t>
            </w:r>
          </w:p>
        </w:tc>
        <w:tc>
          <w:tcPr>
            <w:tcW w:w="550" w:type="pct"/>
          </w:tcPr>
          <w:p w14:paraId="66F72D6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Belum mengevaluasi pengaruh varian Borderline-SMOTE pada model tree ensemble seperti XGBoost dan CatBoost.</w:t>
            </w:r>
            <w:r w:rsidRPr="004840B8">
              <w:rPr>
                <w:rFonts w:ascii="Times New Roman" w:hAnsi="Times New Roman" w:cs="Times New Roman"/>
              </w:rPr>
              <w:br/>
              <w:t>-&gt; Posisi Skripsi: Menggabungkan uji komparatif Borderline-SMOTE dengan XGBoost/CatBoost.</w:t>
            </w:r>
          </w:p>
        </w:tc>
        <w:tc>
          <w:tcPr>
            <w:tcW w:w="1302" w:type="pct"/>
          </w:tcPr>
          <w:p w14:paraId="3394C944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https://doi.org/10.1007/s13369-024-09287-w</w:t>
            </w:r>
          </w:p>
        </w:tc>
      </w:tr>
      <w:tr w:rsidR="00454DA7" w:rsidRPr="004840B8" w14:paraId="6E08BA9D" w14:textId="77777777" w:rsidTr="004840B8">
        <w:tc>
          <w:tcPr>
            <w:tcW w:w="146" w:type="pct"/>
          </w:tcPr>
          <w:p w14:paraId="2BCBC956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80" w:type="pct"/>
          </w:tcPr>
          <w:p w14:paraId="43F7ABC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Alam et al. (2024)</w:t>
            </w:r>
          </w:p>
        </w:tc>
        <w:tc>
          <w:tcPr>
            <w:tcW w:w="952" w:type="pct"/>
          </w:tcPr>
          <w:p w14:paraId="0F84D7D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 xml:space="preserve">Predicting Academic Success of College Students </w:t>
            </w:r>
            <w:r w:rsidRPr="004840B8">
              <w:rPr>
                <w:rFonts w:ascii="Times New Roman" w:hAnsi="Times New Roman" w:cs="Times New Roman"/>
              </w:rPr>
              <w:lastRenderedPageBreak/>
              <w:t>Using Machine Learning Techniques</w:t>
            </w:r>
            <w:r w:rsidRPr="004840B8">
              <w:rPr>
                <w:rFonts w:ascii="Times New Roman" w:hAnsi="Times New Roman" w:cs="Times New Roman"/>
              </w:rPr>
              <w:br/>
              <w:t>— Data (MDPI)</w:t>
            </w:r>
          </w:p>
        </w:tc>
        <w:tc>
          <w:tcPr>
            <w:tcW w:w="387" w:type="pct"/>
          </w:tcPr>
          <w:p w14:paraId="76592CF1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Dataset Mahasisw</w:t>
            </w:r>
            <w:r w:rsidRPr="004840B8">
              <w:rPr>
                <w:rFonts w:ascii="Times New Roman" w:hAnsi="Times New Roman" w:cs="Times New Roman"/>
              </w:rPr>
              <w:lastRenderedPageBreak/>
              <w:t>a Kolej</w:t>
            </w:r>
          </w:p>
        </w:tc>
        <w:tc>
          <w:tcPr>
            <w:tcW w:w="413" w:type="pct"/>
          </w:tcPr>
          <w:p w14:paraId="561E1196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XGBoost, SVM</w:t>
            </w:r>
          </w:p>
        </w:tc>
        <w:tc>
          <w:tcPr>
            <w:tcW w:w="337" w:type="pct"/>
          </w:tcPr>
          <w:p w14:paraId="5A958108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 xml:space="preserve">F1-Score, </w:t>
            </w:r>
            <w:r w:rsidRPr="004840B8">
              <w:rPr>
                <w:rFonts w:ascii="Times New Roman" w:hAnsi="Times New Roman" w:cs="Times New Roman"/>
              </w:rPr>
              <w:lastRenderedPageBreak/>
              <w:t>Recall</w:t>
            </w:r>
          </w:p>
        </w:tc>
        <w:tc>
          <w:tcPr>
            <w:tcW w:w="532" w:type="pct"/>
          </w:tcPr>
          <w:p w14:paraId="3483EC1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 xml:space="preserve">XGBoost memberikan </w:t>
            </w:r>
            <w:r w:rsidRPr="004840B8">
              <w:rPr>
                <w:rFonts w:ascii="Times New Roman" w:hAnsi="Times New Roman" w:cs="Times New Roman"/>
              </w:rPr>
              <w:lastRenderedPageBreak/>
              <w:t>hasil sangat kuat dibanding SVM pada klasifikasi kelas tidak seimbang</w:t>
            </w:r>
          </w:p>
        </w:tc>
        <w:tc>
          <w:tcPr>
            <w:tcW w:w="550" w:type="pct"/>
          </w:tcPr>
          <w:p w14:paraId="4404320D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Belum memaksimalka</w:t>
            </w:r>
            <w:r w:rsidRPr="004840B8">
              <w:rPr>
                <w:rFonts w:ascii="Times New Roman" w:hAnsi="Times New Roman" w:cs="Times New Roman"/>
              </w:rPr>
              <w:lastRenderedPageBreak/>
              <w:t>n sampling metode khusus (Borderline-SMOTE). -&gt; Posisi Skripsi: Komparasi langsung XGBoost dan CatBoost dengan Borderline-SMOTE.</w:t>
            </w:r>
          </w:p>
        </w:tc>
        <w:tc>
          <w:tcPr>
            <w:tcW w:w="1302" w:type="pct"/>
          </w:tcPr>
          <w:p w14:paraId="7000E97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lastRenderedPageBreak/>
              <w:t>10.3390/data9040060</w:t>
            </w:r>
          </w:p>
        </w:tc>
      </w:tr>
      <w:tr w:rsidR="00454DA7" w:rsidRPr="004840B8" w14:paraId="01F44522" w14:textId="77777777" w:rsidTr="004840B8">
        <w:tc>
          <w:tcPr>
            <w:tcW w:w="146" w:type="pct"/>
          </w:tcPr>
          <w:p w14:paraId="5FEC1125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80" w:type="pct"/>
          </w:tcPr>
          <w:p w14:paraId="7E5A98DF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Almazroei et al. (2026)</w:t>
            </w:r>
          </w:p>
        </w:tc>
        <w:tc>
          <w:tcPr>
            <w:tcW w:w="952" w:type="pct"/>
          </w:tcPr>
          <w:p w14:paraId="74A79A72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Ensemble machine learning framework with SHAP and LIME for accurate early prediction of student success</w:t>
            </w:r>
            <w:r w:rsidRPr="004840B8">
              <w:rPr>
                <w:rFonts w:ascii="Times New Roman" w:hAnsi="Times New Roman" w:cs="Times New Roman"/>
              </w:rPr>
              <w:br/>
              <w:t>— Scientific Reports (Nature Portfolio)</w:t>
            </w:r>
          </w:p>
        </w:tc>
        <w:tc>
          <w:tcPr>
            <w:tcW w:w="387" w:type="pct"/>
          </w:tcPr>
          <w:p w14:paraId="5CDCF5EF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Data log akademik (LMS)</w:t>
            </w:r>
          </w:p>
        </w:tc>
        <w:tc>
          <w:tcPr>
            <w:tcW w:w="413" w:type="pct"/>
          </w:tcPr>
          <w:p w14:paraId="23D3A8A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Ensemble ML + SHAP &amp; LIME</w:t>
            </w:r>
          </w:p>
        </w:tc>
        <w:tc>
          <w:tcPr>
            <w:tcW w:w="337" w:type="pct"/>
          </w:tcPr>
          <w:p w14:paraId="09FA6F9B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Accuracy, Recall, F1, AUC</w:t>
            </w:r>
          </w:p>
        </w:tc>
        <w:tc>
          <w:tcPr>
            <w:tcW w:w="532" w:type="pct"/>
          </w:tcPr>
          <w:p w14:paraId="67984BB9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Kombinasi model Ensemble ML dan analisis SHAP/LIME memberikan presisi tinggi sekaligus penjelasan detail alasan mahasiswa berhasil/gagal.</w:t>
            </w:r>
          </w:p>
        </w:tc>
        <w:tc>
          <w:tcPr>
            <w:tcW w:w="550" w:type="pct"/>
          </w:tcPr>
          <w:p w14:paraId="589DDDCF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Fokus utama studi adalah data aktivitas klik LMS daring, bukan riwayat status sosio-ekonomi atau demografi pendaftaran awal (seperti pada dataset UCI 697).</w:t>
            </w:r>
            <w:r w:rsidRPr="004840B8">
              <w:rPr>
                <w:rFonts w:ascii="Times New Roman" w:hAnsi="Times New Roman" w:cs="Times New Roman"/>
              </w:rPr>
              <w:br/>
              <w:t>-&gt; Posisi Skripsi: Mengaplikasikan kerangka Ensemble + SHAP pada data sosio-ekonomi tabular murni.</w:t>
            </w:r>
          </w:p>
        </w:tc>
        <w:tc>
          <w:tcPr>
            <w:tcW w:w="1302" w:type="pct"/>
          </w:tcPr>
          <w:p w14:paraId="3B5333BA" w14:textId="77777777" w:rsidR="00454DA7" w:rsidRPr="004840B8" w:rsidRDefault="00000000">
            <w:pPr>
              <w:rPr>
                <w:rFonts w:ascii="Times New Roman" w:hAnsi="Times New Roman" w:cs="Times New Roman"/>
              </w:rPr>
            </w:pPr>
            <w:r w:rsidRPr="004840B8">
              <w:rPr>
                <w:rFonts w:ascii="Times New Roman" w:hAnsi="Times New Roman" w:cs="Times New Roman"/>
              </w:rPr>
              <w:t>https://doi.org/10.1038/s41598-026-49894-1</w:t>
            </w:r>
          </w:p>
        </w:tc>
      </w:tr>
    </w:tbl>
    <w:p w14:paraId="130CE5AC" w14:textId="77777777" w:rsidR="006B088F" w:rsidRPr="004840B8" w:rsidRDefault="006B088F">
      <w:pPr>
        <w:rPr>
          <w:rFonts w:ascii="Times New Roman" w:hAnsi="Times New Roman" w:cs="Times New Roman"/>
        </w:rPr>
      </w:pPr>
    </w:p>
    <w:sectPr w:rsidR="006B088F" w:rsidRPr="004840B8" w:rsidSect="00034616">
      <w:pgSz w:w="15840" w:h="12240" w:orient="landscape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7597722">
    <w:abstractNumId w:val="8"/>
  </w:num>
  <w:num w:numId="2" w16cid:durableId="910427038">
    <w:abstractNumId w:val="6"/>
  </w:num>
  <w:num w:numId="3" w16cid:durableId="1981224928">
    <w:abstractNumId w:val="5"/>
  </w:num>
  <w:num w:numId="4" w16cid:durableId="1482306324">
    <w:abstractNumId w:val="4"/>
  </w:num>
  <w:num w:numId="5" w16cid:durableId="1731346542">
    <w:abstractNumId w:val="7"/>
  </w:num>
  <w:num w:numId="6" w16cid:durableId="875509054">
    <w:abstractNumId w:val="3"/>
  </w:num>
  <w:num w:numId="7" w16cid:durableId="1318918868">
    <w:abstractNumId w:val="2"/>
  </w:num>
  <w:num w:numId="8" w16cid:durableId="683243093">
    <w:abstractNumId w:val="1"/>
  </w:num>
  <w:num w:numId="9" w16cid:durableId="879048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4DA7"/>
    <w:rsid w:val="004840B8"/>
    <w:rsid w:val="006B088F"/>
    <w:rsid w:val="008F0540"/>
    <w:rsid w:val="00A908C3"/>
    <w:rsid w:val="00AA1D8D"/>
    <w:rsid w:val="00B47730"/>
    <w:rsid w:val="00BD1E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B051DC"/>
  <w14:defaultImageDpi w14:val="300"/>
  <w15:docId w15:val="{24CAB359-FDDF-48DC-B7FE-1F4977C7C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1087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Pratama</cp:lastModifiedBy>
  <cp:revision>3</cp:revision>
  <dcterms:created xsi:type="dcterms:W3CDTF">2013-12-23T23:15:00Z</dcterms:created>
  <dcterms:modified xsi:type="dcterms:W3CDTF">2026-10-07T13:33:00Z</dcterms:modified>
  <cp:category/>
</cp:coreProperties>
</file>