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ĐỀ MẪU — NHẬP CÂU HỎI VÀO ARS</w:t>
      </w:r>
    </w:p>
    <w:p>
      <w:r>
        <w:rPr>
          <w:i/>
          <w:color w:val="667085"/>
        </w:rPr>
        <w:t xml:space="preserve">Cách đánh dấu đáp án đúng (chọn một trong các cách): gạch chân hoặc tô đỏ phương án đúng; đặt dấu * trước chữ cái; thêm dòng "Đáp án: B"; hoặc bảng đáp án cuối đề.</w:t>
      </w:r>
    </w:p>
    <w:p>
      <w:r>
        <w:t xml:space="preserve">Chủ đề: Giao thức MQTT</w:t>
      </w:r>
    </w:p>
    <w:p>
      <w:r>
        <w:t xml:space="preserve">Câu 1: MQTT hoạt động theo mô hình nào?</w:t>
      </w:r>
    </w:p>
    <w:p>
      <w:r>
        <w:t xml:space="preserve">A. Client/Server đồng bộ</w:t>
      </w:r>
    </w:p>
    <w:p>
      <w:r>
        <w:rPr>
          <w:u w:val="single"/>
        </w:rPr>
        <w:t xml:space="preserve">B. Publish/Subscribe</w:t>
      </w:r>
    </w:p>
    <w:p>
      <w:r>
        <w:t xml:space="preserve">C. Peer-to-peer</w:t>
      </w:r>
    </w:p>
    <w:p>
      <w:r>
        <w:t xml:space="preserve">D. Request/Response</w:t>
      </w:r>
    </w:p>
    <w:p>
      <w:r>
        <w:t xml:space="preserve">Giải thích: Các thiết bị không gửi trực tiếp cho nhau mà qua broker theo topic.</w:t>
      </w:r>
    </w:p>
    <w:p>
      <w:r>
        <w:t xml:space="preserve">Câu 2: Cổng mặc định của MQTT khi không mã hoá là</w:t>
      </w:r>
    </w:p>
    <w:p>
      <w:r>
        <w:t xml:space="preserve">A. 80</w:t>
      </w:r>
    </w:p>
    <w:p>
      <w:r>
        <w:t xml:space="preserve">B. 443</w:t>
      </w:r>
    </w:p>
    <w:p>
      <w:r>
        <w:t xml:space="preserve">*C. 1883</w:t>
      </w:r>
    </w:p>
    <w:p>
      <w:r>
        <w:t xml:space="preserve">D. 8883</w:t>
      </w:r>
    </w:p>
    <w:p>
      <w:r>
        <w:t xml:space="preserve">Câu 3: Mức QoS nào đảm bảo bản tin được nhận đúng một lần?</w:t>
      </w:r>
    </w:p>
    <w:p>
      <w:r>
        <w:t xml:space="preserve">A. QoS 0     B. QoS 1     C. QoS 2</w:t>
      </w:r>
    </w:p>
    <w:p>
      <w:r>
        <w:t xml:space="preserve">Đáp án: C</w:t>
      </w:r>
    </w:p>
    <w:p>
      <w:r>
        <w:t xml:space="preserve">Chủ đề: Bluetooth Low Energy</w:t>
      </w:r>
    </w:p>
    <w:p>
      <w:r>
        <w:t xml:space="preserve">Câu 4: BLE hoạt động ở băng tần nào?</w:t>
      </w:r>
    </w:p>
    <w:p>
      <w:r>
        <w:t xml:space="preserve">A. 433 MHz</w:t>
      </w:r>
    </w:p>
    <w:p>
      <w:r>
        <w:t xml:space="preserve">B. 868 MHz</w:t>
      </w:r>
    </w:p>
    <w:p>
      <w:r>
        <w:t xml:space="preserve">C. 2,4 GHz</w:t>
      </w:r>
    </w:p>
    <w:p>
      <w:r>
        <w:t xml:space="preserve">D. 5 GHz</w:t>
      </w:r>
    </w:p>
    <w:p>
      <w:pPr>
        <w:pStyle w:val="Heading1"/>
      </w:pPr>
      <w:r>
        <w:t xml:space="preserve">BẢNG ĐÁP ÁN</w:t>
      </w:r>
    </w:p>
    <w:p>
      <w:r>
        <w:t xml:space="preserve">4.C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</w:rPr>
    </w:rPrDefault>
  </w:docDefaults>
  <w:style w:type="paragraph" w:default="1" w:styleId="Normal">
    <w:name w:val="Normal"/>
    <w:pPr>
      <w:spacing w:after="60"/>
    </w:pPr>
  </w:style>
  <w:style w:type="paragraph" w:styleId="Heading1">
    <w:name w:val="heading 1"/>
    <w:basedOn w:val="Normal"/>
    <w:pPr>
      <w:spacing w:before="240" w:after="120"/>
    </w:pPr>
    <w:rPr>
      <w:b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