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 Кубань литер „I“ протяжённостью 270 м, торцевые стенки литер „II“ протяжённостью 25 м»</w:t>
      </w:r>
    </w:p>
    <w:p>
      <w:pPr>
        <w:spacing w:after="0" w:before="120"/>
        <w:jc w:val="center"/>
      </w:pPr>
      <w:r>
        <w:rPr>
          <w:rFonts w:ascii="Times New Roman" w:cs="Times New Roman" w:eastAsia="Times New Roman" w:hAnsi="Times New Roman"/>
          <w:sz w:val="24"/>
          <w:szCs w:val="24"/>
        </w:rPr>
        <w:t xml:space="preserve">(Краснодарский край, г. Краснодар, Западный внутригородской округ, ул. Кубанская Набережная, д. 37/9; кадастровый номер 23:43:0208042:1316)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w:t>
      </w:r>
    </w:p>
    <w:p>
      <w:pPr>
        <w:pBdr>
          <w:bottom w:val="single" w:color="000000" w:sz="6" w:space="1"/>
        </w:pBdr>
        <w:spacing w:after="0"/>
        <w:jc w:val="center"/>
      </w:pPr>
      <w:r>
        <w:rPr>
          <w:rFonts w:ascii="Times New Roman" w:cs="Times New Roman" w:eastAsia="Times New Roman" w:hAnsi="Times New Roman"/>
          <w:b/>
          <w:bCs/>
          <w:sz w:val="26"/>
          <w:szCs w:val="26"/>
        </w:rPr>
        <w:t xml:space="preserve">(МКУ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b/>
                <w:bCs/>
                <w:sz w:val="26"/>
                <w:szCs w:val="26"/>
              </w:rPr>
              <w:t xml:space="preserve">УТВЕРЖДАЮ</w:t>
            </w:r>
          </w:p>
          <w:p>
            <w:pPr>
              <w:keepNext w:val="false"/>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keepNext w:val="false"/>
              <w:spacing w:after="0" w:before="0" w:line="240" w:lineRule="auto"/>
              <w:jc w:val="left"/>
            </w:pPr>
            <w:r>
              <w:rPr>
                <w:rFonts w:ascii="Times New Roman" w:cs="Times New Roman" w:eastAsia="Times New Roman" w:hAnsi="Times New Roman"/>
                <w:sz w:val="26"/>
                <w:szCs w:val="26"/>
              </w:rPr>
              <w:t xml:space="preserve">МКУ МО г. Краснодар «ГСЛК»</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___________________ А.В. Миронов</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 ____________________ 2026 г.</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22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24</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28</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28</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31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38</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42</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44</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46</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47</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 Кубань литер „I“ протяжённостью 270 м, торцевые стенки литер „II“ протяжённостью 25 м»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№117-ФЗ «О безопасности гидротехнических сооружений» (далее – Федеральный закон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№151 (зарегистрирован в Министерстве юстиции Российской Федерации 31 мая 2024 г., регистрационный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№1,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№509 (зарегистрирован в Министерстве юстиции Российской Федерации 24 декабря 2020 г., регистрационный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 (далее – выписка из ЕГРН);</w:t>
      </w:r>
    </w:p>
    <w:p>
      <w:pPr>
        <w:spacing w:after="40" w:before="0" w:line="252" w:lineRule="auto"/>
        <w:ind w:firstLine="709"/>
        <w:jc w:val="both"/>
      </w:pPr>
      <w:r>
        <w:rPr>
          <w:rFonts w:ascii="Times New Roman" w:cs="Times New Roman" w:eastAsia="Times New Roman" w:hAnsi="Times New Roman"/>
        </w:rPr>
        <w:t xml:space="preserve">–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№2167;</w:t>
      </w:r>
    </w:p>
    <w:p>
      <w:pPr>
        <w:spacing w:after="40" w:before="0" w:line="252" w:lineRule="auto"/>
        <w:ind w:firstLine="709"/>
        <w:jc w:val="both"/>
      </w:pPr>
      <w:r>
        <w:rPr>
          <w:rFonts w:ascii="Times New Roman" w:cs="Times New Roman" w:eastAsia="Times New Roman" w:hAnsi="Times New Roman"/>
        </w:rPr>
        <w:t xml:space="preserve">–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ГТС (ООО «Технология Безопасности», составлен 06.10.2026; подлежит согласованию министерством природных ресурсов Краснодарского края) (далее – расчёт вероятного вреда).</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согласованно с расчётом вероятного вреда, прилагаемым к декларации безопасности ГТС (подпункт «в» пункта 6 Положения о декларировании): диагностические показатели состояния ГТС выбраны с учётом сценариев аварий, принятых в расчёте вероятного вреда (подраздел 2.4.1).</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№2167); топографическая съёмка участка ГТС не выполнялась, отметки верха сооружения и дна у его подошвы не установлены;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подпорной стенки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23:43:0208042:1316-23/226/2026-3.</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12.12.2025, номер государственной регистрации 23:43:0208042:1316-23/226/2025-1; основание возникновения права – решение Ленинского районного суда города Краснодара от 15.09.2025 по делу №2-5581/2025. Сведения о ГТС включены в реестр муниципального имущества муниципального образования город Краснодар приказом департамента муниципальной собственности и городских земель администрации муниципального образования город Краснодар от 17.02.2026 №99.</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w:t>
            </w:r>
          </w:p>
          <w:p>
            <w:pPr>
              <w:keepNext/>
              <w:spacing w:after="0" w:before="0" w:line="240" w:lineRule="auto"/>
              <w:jc w:val="center"/>
            </w:pPr>
            <w:r>
              <w:rPr>
                <w:rFonts w:ascii="Times New Roman" w:cs="Times New Roman" w:eastAsia="Times New Roman" w:hAnsi="Times New Roman"/>
                <w:b/>
                <w:bCs/>
                <w:sz w:val="22"/>
                <w:szCs w:val="22"/>
              </w:rPr>
              <w:t xml:space="preserve">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№416-ФЗ «О водоснабжении и водоотведении» (статья 3 Федерального закона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Коллектор общесплавной и ливневой канализации (железобетонная труба Ø 1500 мм) и линия электроосвещения, проложенные в теле сооружения, гидротехническими сооружениями и элементами ГТС не являются (подраздел 2.1 расчёта вероятного вреда).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по адресу: ул. Кубанская Набережная, д. 37/9, на правом берегу реки Кубань, на участке 224,3–224,1 км от устья, между перекатами Верхнекраснодарский и Нижнекраснодарский, в нижнем бьефе Краснодарского водохранилища. Участок берега, на котором расположено ГТС, находится вне основного русла реки Кубань: между основным руслом и ГТС расположен Краснодарский затон – обособленный участок акватории речной системы реки Кубань, гидравлически связанный с её основным руслом и отделённый от него территорией парка имени 30-летия Победы (пункт 10.3 акта преддекларационного обследования).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23:43:0208042:1316 (дата присвоения – 16.07.2014); номер кадастрового квартала – 23:43:0208042; местоположение – «Краснодарский край, г. Краснодар, Западный внутригородской округ, ул. Кубанская Набережная, д. 37/9»; основная характеристика – протяжённость 295 м; назначение – «сооружения гидротехнические»; год ввода в эксплуатацию по завершении строительства – «2014»; год завершения строительства – «данные отсутствуют». По пункту 9.3 акта преддекларационного обследования и подразделу 2.1 расчёта вероятного вреда ГТС расположено в пределах земельных участков с кадастровыми номерами 23:43:0208042:1832, 23:43:0208042:1817/1, 23:43:0208042:1817/2, 23:43:0208042:1817/3 (по схеме раздела 4 выписки из ЕГРН); в разделе 1 выписки графа «Кадастровые номера иных объектов недвижимости, в пределах которых расположен объект недвижимости» не заполнена.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год ввода в эксплуатацию, указанный в ЕГРН (2014), документом о вводе не подтверждён.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№2167). Ранее сооружение относилось к бесхозяйным; право муниципальной собственности признано в судебном порядке (подраздел 1.2). Правоустанавливающие документы на земельные участки под ГТС отсутствуют (письмо от 03.08.2026 №2167).</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№499). Сооружение выполняет берегоукрепительную функцию и используется как набережная общего пользования: по верху сооружения устроена пешеходная зона, к сооружению примыкает лестничный спуск к береговой полосе.</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№117-ФЗ. Вопрос об отнесении ГТС ко II классу (второе предложение пункта 8.8 СП 58.13330.2019 в редакции изменения №1: авария берегоукрепительного сооружения может привести к гибели и травмам людей) подлежал разрешению по результатам разработки сценариев аварий и расчёта вероятного вреда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Расчётом вероятного вреда установлено, что гибель людей не исключается как при наиболее вероятной аварии (сценарий В-1 с развитием по сценарию В-2), так и при наиболее тяжёлой аварии (сценарий В-3): при наиболее тяжёлой аварии вероятное число погибших составляет 8,13 чел., общее число погибших и пострадавших – 10,84 чел.; при наиболее вероятной аварии – 4,07 и 5,42 чел. соответственно (подпункт 3.6.3 и раздел 4 расчёта вероятного вреда). Указанные результаты отвечают условию второго предложения пункта 8.8 СП 58.13330.2019, при котором берегоукрепительное сооружение следует относить ко II классу ответственности; в расчёте вероятного вреда ГТС, как и в акте преддекларационного обследования, отнесено к III классу предварительно. Пересмотр класса ответственности осуществляется проектной организацией с соответствующим обоснованием (пункт 8.10 СП 58.13330.2019); класс ГТС, применяемый в целях федерального государственного надзора, присваивается при внесении сведений о ГТС в Российский регистр гидротехнических сооружений (статья 7 Федерального закона №117-ФЗ).</w:t>
      </w:r>
    </w:p>
    <w:p>
      <w:pPr>
        <w:spacing w:after="60" w:before="0" w:line="252" w:lineRule="auto"/>
        <w:ind w:firstLine="709"/>
        <w:jc w:val="both"/>
      </w:pPr>
      <w:r>
        <w:rPr>
          <w:rFonts w:ascii="Times New Roman" w:cs="Times New Roman" w:eastAsia="Times New Roman" w:hAnsi="Times New Roman"/>
          <w:b/>
          <w:bCs/>
        </w:rPr>
        <w:t xml:space="preserve">Критериальные значения К1 и К2 назначены по деформационным, геометрическим, фильтрационным и визуальным признакам (подразделы 2.4.3 и 2.4.4) и от класса ГТС непосредственно не зависят. При отнесении ГТС ко II классу пересмотру подлежат периодичность наблюдений (таблица 4.2.1) и расчётное обоснование устойчивости подпорной стенки, выполняемое с коэффициентом надёжности по ответственности γn = 1,20 вместо 1,15 (пункт 8.17 СП 58.13330.2019), по результатам которого уточняются значение К2 позиции 7 и значения К1, К2 позиции 9 таблицы 3.1.1.</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и IV классов ответственности – 50 лет, I и II классов – 100 лет (пункт 8.21 СП 58.13330.2019). Фактический срок эксплуатации ГТС не установлен: год ввода в эксплуатацию, указанный в ЕГРН (2014), документом о вводе не подтверждён; срок эксплуатации, исчисляемый от 2014 года, составил бы 12 лет (подраздел 2.1 расчёта вероятного вреда).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(пункт 10.4 акта преддекларационного обследования).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 (67 / минус 36)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Абсолютный минимум температуры поверхности почвы принят по таблице 8 расчёта вероятного вреда; значение минус 26 °С, приведённое в тексте пункта 10.5 акта преддекларационного обследования, соответствует среднему из абсолютных минимумов.</w:t>
      </w:r>
    </w:p>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обратной засыпки как определяющий фактор работы подпорной стенки;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ГТС расположено на берегу Краснодарского затона, гидравлически связанного с основным руслом реки Кубань; уровенный режим акватории затона определяется уровнем воды в основном русле, то есть режимом попусков из Краснодарского водохранилища, прохождением половодья и паводков. На участке ГТС на момент преддекларационного обследования глубина изменялась от 3,5 до 4,0 м (пункт 10.3 акта преддекларационного обследования). Характеристики скоростного режима и русловых деформаций акватории затона в исходных данных отсутствуют (подраздел 2.2 расчёта вероятного вреда).</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основном русле в половодье – 1,0–1,5 м/с, в межень – 0,4–0,6 м/с; глубины на плёсах – 10–15 м, на перекатах – 1–5 м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соответствующие характерным расходам (участок 224,3–224,1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Средняя скорость течения в основном русле,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 таблица 46 расчёта вероятного вреда). Значения совпадают с приведёнными для участка 218,5–218,3 км от устья, что при указанном уклоне водной поверхности требует проверки (подраздел 2.2 расчёта вероятного вреда); при назначении критериев безопасности абсолютные отметки уровней воды использованы только для предварительной оценки перепада Δh (позиция 9 таблицы 3.1.1); прочие критерии назначены без использования абсолютных отметок. Отметки – в Балтийской системе высот 1977 г.</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подпорную стенку и условия работы грунта обратной засыпки в зоне переменного уровня. Отметки верха ГТС и дна у его подошвы в исходных данных отсутствуют; превышение верха сооружения над уровнями воды не установлено (таблица 48 расчёта вероятного вреда). Максимальная высота видимой части сооружения, установленная при обследовании, – 6 м (пункт 9.8 акта преддекларационного обследования). В связи с этим затопление (перелив воды на пешеходную зону) при высоких уровнях воды и накат ветровых волн приняты качественным диагностическим показателем (позиция 15 таблицы 3.2.1).</w:t>
      </w:r>
    </w:p>
    <w:p>
      <w:pPr>
        <w:spacing w:after="60" w:before="0" w:line="252" w:lineRule="auto"/>
        <w:ind w:firstLine="709"/>
        <w:jc w:val="both"/>
      </w:pPr>
      <w:r>
        <w:rPr>
          <w:rFonts w:ascii="Times New Roman" w:cs="Times New Roman" w:eastAsia="Times New Roman" w:hAnsi="Times New Roman"/>
        </w:rPr>
        <w:t xml:space="preserve">Инженерно-геологические и гидрогеологические изыскания непосредственно на участке ГТС не выполнялись. По справочным данным изысканий декабря 2017 – января 2018 года на участке правого берега реки Кубань от ул. Тургенева до Рождественской набережной грунтовые воды первого от поверхности водоносного горизонта установились на абсолютных отметках 13,15–16,88 м БС, по архивным материалам – 14,97–16,50 м БС (подраздел 2.2 расчёта вероятного вреда). Первый от поверхности водоносный горизонт гидравлически связан с рекой; при снижении уровня воды в затоне после прохождения половодья, паводков и попусков из Краснодарского водохранилища уровень в грунте обратной засыпки снижается с запаздыванием, вследствие чего на подпорную стенку действует неуравновешенное давление грунтовых вод – перепад уровней Δh, являющийся определяющей нагрузкой сценариев аварий В-2 и В-3 (подраздел 2.4.1). Дренажные элементы, снижающие напор за стенкой, при обследовании не выявлены.</w:t>
      </w:r>
    </w:p>
    <w:p>
      <w:pPr>
        <w:spacing w:after="60" w:before="0" w:line="252" w:lineRule="auto"/>
        <w:ind w:firstLine="709"/>
        <w:jc w:val="both"/>
      </w:pPr>
      <w:r>
        <w:rPr>
          <w:rFonts w:ascii="Times New Roman" w:cs="Times New Roman" w:eastAsia="Times New Roman" w:hAnsi="Times New Roman"/>
        </w:rPr>
        <w:t xml:space="preserve">Тип руслового процесса в основном русле на участке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 Посадка уровней в основном русле передаётся в акваторию затона и сопровождается понижением отметок дна у подошвы ГТС (русловые воздействия по подразделу 3.4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В основном русле на участке ГТС внутрирусловые деформации сводятся к локальным размывам и намывам;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 Для акватории затона аналогичные сведения отсутствуют.</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определяющими внешними факторами, влияющими на безопасность ГТС, являются неуравновешенное давление грунтовых вод за подпорной стенкой при снижении уровня воды в затоне и понижение отметок дна у подошвы сооружения; в связи с этим перепад уровней воды за стенкой и в затоне и отметки дна у подошвы подпорной стенки и у торцевых стенок приняты в качестве диагностических показателей (позиции 7 и 9 таблицы 3.1.1, позиция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Инженерно-геологические изыскания непосредственно на участке ГТС не выполнялись. По справочным материалам изысканий 2017–2018 годов на участке правого берега реки Кубань от ул. Тургенева до Рождественской набережной, характеризующим инженерно-геологические условия правобережной части долины реки Кубань в черте города, 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 подраздел 2.2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№499). Состав грунта обратной засыпки не установлен; в расчёте вероятного вреда в запас принят несвязный грунт, подверженный суффозии (подраздел 3.3 расчёта вероятного вреда). Физико-механические характеристики грунтов основания и обратной засыпки на участке ГТС подлежат определению при инструментальном обследовании и используются при расчётном обосновании устойчивости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а также принятый в запас несвязный состав грунта обратной засыпки обусловливают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покрытия пешеходной зоны, суффозионные проявления, поступление грунта в коллектор,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вертикальную подпорную железобетонную стенку, выполняющую функции берегоукрепления и одновременно служащую основанием пешеходной зоны, расположенной в верхней части сооружения; ярусное (террасированное) решение отсутствует, состав сооружения однотипен по всей протяжённости (подраздел 2.1 расчёта вероятного вреда). В состав ГТС входят:</w:t>
      </w:r>
    </w:p>
    <w:p>
      <w:pPr>
        <w:spacing w:after="40" w:before="0" w:line="252" w:lineRule="auto"/>
        <w:ind w:firstLine="709"/>
        <w:jc w:val="both"/>
      </w:pPr>
      <w:r>
        <w:rPr>
          <w:rFonts w:ascii="Times New Roman" w:cs="Times New Roman" w:eastAsia="Times New Roman" w:hAnsi="Times New Roman"/>
        </w:rPr>
        <w:t xml:space="preserve">– подпорная стенка литер „I“ протяжённостью 270 м вдоль береговой линии Краснодарского затона; толщина стенки по гребню – 1,0 м, максимальная высота видимой (надземной) части – 6 м;</w:t>
      </w:r>
    </w:p>
    <w:p>
      <w:pPr>
        <w:spacing w:after="40" w:before="0" w:line="252" w:lineRule="auto"/>
        <w:ind w:firstLine="709"/>
        <w:jc w:val="both"/>
      </w:pPr>
      <w:r>
        <w:rPr>
          <w:rFonts w:ascii="Times New Roman" w:cs="Times New Roman" w:eastAsia="Times New Roman" w:hAnsi="Times New Roman"/>
        </w:rPr>
        <w:t xml:space="preserve">– торцевые стенки литер „II“ общей протяжённостью 25 м; конструкция торцевых стенок и их сопряжения с подпорной стенкой литер „I“ не установлены (подраздел 2.1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пешеходная зона по верху сооружения шириной 6 м с плиточным покрытием; проезд транспортных средств по гребню сооружения не предусмотрен; на верховом и низовом (северном и южном) окончаниях сооружения устроены съезды (пандусы);</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краю пешеходной зоны со стороны акватории; стойки ограждения заделаны в бетон;</w:t>
      </w:r>
    </w:p>
    <w:p>
      <w:pPr>
        <w:spacing w:after="40" w:before="0" w:line="252" w:lineRule="auto"/>
        <w:ind w:firstLine="709"/>
        <w:jc w:val="both"/>
      </w:pPr>
      <w:r>
        <w:rPr>
          <w:rFonts w:ascii="Times New Roman" w:cs="Times New Roman" w:eastAsia="Times New Roman" w:hAnsi="Times New Roman"/>
        </w:rPr>
        <w:t xml:space="preserve">– лестничный спуск, обеспечивающий сообщение между пешеходной зоной и береговой полосой (приурезной зоной).</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проложены коллектор общесплавной и ливневой канализации (железобетонная труба Ø 1500 мм; далее – коллектор) и линия электроосвещения; на поверхность пешеходной зоны выведены смотровые колодцы и дождеприёмники; на пешеходной зоне установлены опоры ночного электроосвещения. Коллектор и линия электроосвещения элементами ГТС не являются и дренажными устройствами не служат (подраздел 2.1 расчёта вероятного вреда); их состояние контролируется в части влияния на ГТС (утечки воды и поступление грунта обратной засыпки, размывы у выпуска).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295 (подпорная стенка литер „I“ – 270; торцевые стенки литер „II“ – 25)</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вертикальный; подпорная железобетонная стенка;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Максимальная высота видимой (надземной)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(установлена при обследовании;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Толщина подпорной стенки по гребню,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1,0</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пешеходной зоны,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(по таблице технических характеристик акта преддекларационного обследования; подлежит уточнению инструментальной съёмкой)</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Отметки верха сооружения и дна у подошвы</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(топографическая съёмка не выполнялась)</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ГТС по подошве, глубина заложения,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Конструкция подземной части</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установлена; конструктивная схема по аналогу не принималась (подраздел 2.1 расчёта вероятного вреда)</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Коммуникации в теле сооружения (не являются элементами ГТС)</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коллектор общесплавной и ливневой канализации Ø 1500 мм; линия электроосвещения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Топографический план участка ГТС в исходных данных отсутствует. Положение ГТС в плане определено графически по схеме расположения объекта недвижимости в разделе 4 выписки из ЕГРН (приложение А; масштаб схемы в выписке – 1:3000): ось подпорной стенки литер „I“ представляет собой ломаную из двух прямолинейных участков примерно равной длины – северного, направленного от северного окончания на юго-запад (азимут около 213°), и южного, направленного на юг (азимут около 171°); угол поворота оси – около 42°. Длина ломаной, измеренная по схеме ЕГРН в масштабе 1:3000, составляет около 258 м и не совпадает с протяжённостью ГТС по выписке из ЕГРН (295 м, в том числе литер „I“ – 270 м), поэтому абсолютные длины по масштабу схемы ЕГРН в настоящем документе не используются; используется лишь соотношение длин участков ломаной. Пикетаж принят по подпорной стенке литер „I“ от её северного окончания (ПК 0+00) до южного (ПК 2+70) с распределением протяжённости 270 м пропорционально длинам участков ломаной (таблица 2.2.4); значения приближённые. Плановое положение ГТС, положение торцевых стенок литер „II“, лестничного спуска, съездов и коллектора подлежат установлению при инструментальном обследовании (геодезическая съёмка, мероприятие 3 пункта 17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схеме ЕГРН, приближённо)</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Пикетаж</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Размеры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северный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≈134 м; азимут ≈213°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≈42°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южный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≈136 м; азимут ≈171°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Торцевые стенки литер „II“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на окончаниях ГТС (ПК 0+00, ПК 2+70) – условно; 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суммарно 25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Пешеходная зона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6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Съезды (пандусы)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 северного и южного окончаний ГТС</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Лестничный спуск к береговой полосе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Коллектор общесплавной и ливневой канализации Ø 1500 мм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вдоль пешеходной зоны; положение оси, колодцев и выпуска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Ø 1,5</w:t>
            </w:r>
          </w:p>
        </w:tc>
      </w:tr>
    </w:tbl>
    <w:p>
      <w:pPr>
        <w:spacing w:after="60" w:before="120" w:line="252" w:lineRule="auto"/>
        <w:ind w:firstLine="709"/>
        <w:jc w:val="both"/>
      </w:pPr>
      <w:r>
        <w:rPr>
          <w:rFonts w:ascii="Times New Roman" w:cs="Times New Roman" w:eastAsia="Times New Roman" w:hAnsi="Times New Roman"/>
          <w:b/>
          <w:bCs/>
        </w:rPr>
        <w:t xml:space="preserve">Конструктивная схема подземной части.</w:t>
      </w:r>
      <w:r>
        <w:rPr>
          <w:rFonts w:ascii="Times New Roman" w:cs="Times New Roman" w:eastAsia="Times New Roman" w:hAnsi="Times New Roman"/>
        </w:rPr>
        <w:t xml:space="preserve"> Конструктивное решение подземной части ГТС и его основания наблюдению не доступно, проектная и рабочая документация отсутствует; сведения о сооружениях-аналогах, позволяющие обоснованно принять конструктивную схему, в исходных данных отсутствуют, и конструктивная схема по аналогу в расчёте вероятного вреда не принималась. Опасные элементы и конструкции выявлены по составу сооружения, установленному обследованием, а неустановленные параметры учтены в наиболее неблагоприятном значении – отсутствие дренажных и противофильтрационных элементов, крепления дна у подошвы и элементов, препятствующих контактной фильтрации, а также несвязный состав грунта обратной засыпки (подразделы 2.1, 3.3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подраздел 2.1 расчёта вероятного вреда): тип, материал, сечение и полная длина вертикальных элементов подпорной стенки; глубина заложения подошвы; ширина сооружения по подошве; максимальная строительная высота;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пешеходной зоны; ширина пешеходной зоны (значение 6 м принято по таблице технических характеристик акта преддекларационного обследования и подлежит уточнению); конструктивное решение, материал и параметры лестничного спуска; конструкция торцевых стенок и их сопряжения с подпорной стенкой; положение и отметка выпуска коллектора; параметры системы электроосвещения.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В перечне дефектов на сооружении, выявленных при преддекларационном обследовании (пункт 11.9 акта преддекларационного обследования), указано зарастание швов между элементами плиточного покрытия пешеходной зоны. Мероприятием 16 пункта 17 акта преддекларационного обследования, кроме того, предусмотрены работы по перильному ограждению: расчистка и антикоррозионная обработка стоек в местах заделки, восстановление бетона в местах заделки стоек, восстановление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подпорной стенки, глубина заложения подошвы, наличие и состояние анкерного крепления, состояние грунта обратной засыпки, состояние дна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покрытия, видимые смещения и наклоны подпорной стенки и торцевых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(пункт 11.1 акта преддекларационного обследования); сведения об аттестации работников по вопросам безопасности гидротехнических сооружений приведены в пункте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40" w:before="0" w:line="252" w:lineRule="auto"/>
        <w:ind w:firstLine="709"/>
        <w:jc w:val="both"/>
      </w:pPr>
      <w:r>
        <w:rPr>
          <w:rFonts w:ascii="Times New Roman" w:cs="Times New Roman" w:eastAsia="Times New Roman" w:hAnsi="Times New Roman"/>
        </w:rPr>
        <w:t xml:space="preserve">– показатель отражает развитие хотя бы одного из сценариев аварий, принятых в расчёте вероятного вреда (таблица 2.4.1а).</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при его аварии волна прорыва не образуется и затопление территории не происходит, аварийным воздействием служит обрушение подпорной стенки и грунта обратной засыпки (подпункт 3.6.1 расчёта вероятного вреда). Расчётом вероятного вреда (подраздел 3.4) по результатам предварительного анализа опасностей и метода проверочного листа сформированы три основных сценария аварий ГТС:</w:t>
      </w:r>
    </w:p>
    <w:p>
      <w:pPr>
        <w:spacing w:after="40" w:before="0" w:line="252" w:lineRule="auto"/>
        <w:ind w:firstLine="709"/>
        <w:jc w:val="both"/>
      </w:pPr>
      <w:r>
        <w:rPr>
          <w:rFonts w:ascii="Times New Roman" w:cs="Times New Roman" w:eastAsia="Times New Roman" w:hAnsi="Times New Roman"/>
        </w:rPr>
        <w:t xml:space="preserve">В-1 нарушение фильтрационной прочности грунта обратной засыпки с развитием механической суффозии: поступление грунта в коллектор через участки нарушенной герметичности, по контакту выпуска и через деформационные швы, утрата опирания коллектора, формирование полости и обрушение покрытия с образованием провала пешеходной зоны (наиболее вероятная авария); инициирующие события – нарушение герметичности коллектора, его работа в напорном режиме при ливневых осадках, знакопеременная фильтрация при колебаниях уровня воды в затоне;</w:t>
      </w:r>
    </w:p>
    <w:p>
      <w:pPr>
        <w:spacing w:after="40" w:before="0" w:line="252" w:lineRule="auto"/>
        <w:ind w:firstLine="709"/>
        <w:jc w:val="both"/>
      </w:pPr>
      <w:r>
        <w:rPr>
          <w:rFonts w:ascii="Times New Roman" w:cs="Times New Roman" w:eastAsia="Times New Roman" w:hAnsi="Times New Roman"/>
        </w:rPr>
        <w:t xml:space="preserve">В-2 удержание воды в образовавшейся полости и возникновение гидростатического давления на тыловую грань стенки при снятии уравновешивающего давления со стороны акватории; вынос грунта ниже подошвы полости; достижение стенкой предельных состояний первой группы, её смещение и обрушение в сторону акватории на аварийном участке с разрушением покрытия пешеходной зоны и коллектора (развитие сценария В-1);</w:t>
      </w:r>
    </w:p>
    <w:p>
      <w:pPr>
        <w:spacing w:after="40" w:before="0" w:line="252" w:lineRule="auto"/>
        <w:ind w:firstLine="709"/>
        <w:jc w:val="both"/>
      </w:pPr>
      <w:r>
        <w:rPr>
          <w:rFonts w:ascii="Times New Roman" w:cs="Times New Roman" w:eastAsia="Times New Roman" w:hAnsi="Times New Roman"/>
        </w:rPr>
        <w:t xml:space="preserve">В-3 потеря несущей способности подпорной стенки на всём протяжении сооружения при неуравновешенном давлении грунтовых вод и грунта обратной засыпки в период снижения уровня воды в затоне после прохождения половодья, паводков и попусков из Краснодарского водохранилища (при принятом в запас отсутствии дренажа), при уменьшении глубины заделки подземной части вследствие понижения отметок дна и при сейсмическом воздействии расчётной интенсивности; опрокидывание (смещение) стенки в сторону акватории с обрушением на береговую полосу и обрушение грунта обратной засыпки вместе с пешеходной зоной (наиболее тяжёлая авария).</w:t>
      </w:r>
    </w:p>
    <w:p>
      <w:pPr>
        <w:spacing w:after="60" w:before="0" w:line="252" w:lineRule="auto"/>
        <w:ind w:firstLine="709"/>
        <w:jc w:val="both"/>
      </w:pPr>
      <w:r>
        <w:rPr>
          <w:rFonts w:ascii="Times New Roman" w:cs="Times New Roman" w:eastAsia="Times New Roman" w:hAnsi="Times New Roman"/>
        </w:rPr>
        <w:t xml:space="preserve">Наиболее опасными расчётом вероятного вреда признаны подпорная стенка и её подземная часть с основанием, грунт обратной засыпки, а также проложенный в теле сооружения коллектор (элементом ГТС не является) как источник инициирующих событий сценария В-1; наиболее опасными воздействиями – неуравновешенное давление грунтовых вод за стенкой при снижении уровня воды в затоне, знакопеременная фильтрация, обусловленная колебаниями уровня воды, гидростатическое давление на тыловую грань стенки при удержании воды в полости, понижение отметок дна у подошвы и сейсмическое воздействие расчётной интенсивности (подпункт 3.4.9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Поверочные расчёты устойчивости ГТС не выполнялись: проектная документация отсутствует, конструктивное решение подземной части не установлено, сведения о сооружениях-аналогах в исходных данных отсутствуют (приложение 2 расчёта вероятного вреда). Границы зон аварийного воздействия определены в расчёте вероятного вреда по геометрическим параметрам видимой части сооружения: ширина призмы обрушения грунта обратной засыпки за вертикальной стенкой высотой H = 6 м составляет b = H · tg(45° − φ/2) ≤ H = 6 м при любом угле внутреннего трения грунта φ ≥ 0 (схема активного давления грунта по приложению П СП 101.13330.2023) и, следовательно, не выходит за пределы пешеходной зоны шириной 6 м; ширина зоны падения стенки перед лицевой гранью при её опрокидывании – не более H = 6 м (береговая полоса). Указанные границы использованы для назначения зон наблюдений (позиция 6 таблицы 3.1.1, подраздел 4.3).</w:t>
      </w:r>
    </w:p>
    <w:p>
      <w:pPr>
        <w:spacing w:after="60" w:before="0" w:line="252" w:lineRule="auto"/>
        <w:ind w:firstLine="709"/>
        <w:jc w:val="both"/>
      </w:pPr>
      <w:r>
        <w:rPr>
          <w:rFonts w:ascii="Times New Roman" w:cs="Times New Roman" w:eastAsia="Times New Roman" w:hAnsi="Times New Roman"/>
        </w:rPr>
        <w:t xml:space="preserve">Дополнительно учтены механизмы, не образующие самостоятельных сценариев, но снижающие сопротивление конструкций: деградация материалов (коррозия бетона и арматуры подпорной стенки в зоне переменного уровня воды, коррозия стоек и закладных деталей перильного ограждения, попеременное замораживание и оттаивание); ледовые воздействия на конструкции; сейсмическое воздействие интенсивностью 8 баллов; временные нагрузки на пешеходную зону в пределах призмы обрушения, в том числе от техники при аварийно-восстановительных работах (пункт 14.3 акта преддекларационного обследования), – размещение грузов и устройство каких-либо сооружений у подпорной стенки в пределах расчётной призмы обрушения не допускается, если это не предусмотрено проектной документацией (пункт 26 ФНП); местный размыв у торцевых стенок и обход окончаний сооружения с утратой бокового удержания грунта обратной засыпки; утрата целостности перильного ограждения с риском падения людей с высоты около 6 м в акваторию или на береговую полосу.</w:t>
      </w:r>
    </w:p>
    <w:p>
      <w:pPr>
        <w:spacing w:after="60" w:before="0" w:line="252" w:lineRule="auto"/>
        <w:ind w:firstLine="709"/>
        <w:jc w:val="both"/>
      </w:pPr>
      <w:r>
        <w:rPr>
          <w:rFonts w:ascii="Times New Roman" w:cs="Times New Roman" w:eastAsia="Times New Roman" w:hAnsi="Times New Roman"/>
        </w:rPr>
        <w:t xml:space="preserve">Соответствие диагностических показателей сценариям аварий приведено в таблице 2.4.1а: каждый сценарий контролируется несколькими независимыми показателями, что обеспечивает его выявление на ранней стадии.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2.4.1а – Соответствие диагностических показателей сценариям аварий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50"/>
        <w:gridCol w:w="3505"/>
        <w:gridCol w:w="1950"/>
        <w:gridCol w:w="1950"/>
      </w:tblGrid>
      <w:tr>
        <w:trPr>
          <w:cantSplit/>
          <w:tblHeader/>
        </w:trPr>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Сценарий</w:t>
            </w:r>
          </w:p>
        </w:tc>
        <w:tc>
          <w:tcPr>
            <w:tcW w:type="dxa" w:w="35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Признаки развития, подлежащие контролю</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3.1.1</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3.2.1</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В-1</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вынос грунта обратной засыпки через швы, в коллектор и по контакту выпуска; образование полости; просадки и провалы покрытия пешеходной зоны, в том числе над трассой коллектора; поступление грунта в смотровые колодцы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4, 6</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1, 2, 3, 8, 10, 12</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В-2</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рост перепада уровней воды за стенкой при снижении уровня воды в затоне; смещения и повороты стенки на участке; раскрытие швов; силовые трещины; поступление воды в грунт обратной засыпки при затоплении пешеходной зоны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3, 4, 8, 9, 15</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В-3</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и крен стенки на всём протяжении; рост перепада уровней воды за стенкой; понижение отметок дна у подошвы и у торцевых стенок; местный размыв у окончаний сооружения</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 7,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9, 14</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Деградация материалов (сопутствующий механизм)</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деградация бетона и арматуры, коррозия элементов ограждения, зарастание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5, 8</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4–7, 11, 13</w:t>
            </w:r>
          </w:p>
        </w:tc>
      </w:tr>
    </w:tbl>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воды в Краснодарском затоне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водомерная рейка у подпорной стенки (при необходимости – с продолжением свайными рейками до уреза);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Временные нагрузки на пешеходной зоне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грунтовых вод в грунте обратной засыпки за подпорной стенкой,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пьезометры П-1 – П-6</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накат волн</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при пропуске расходов более 961 м³/с</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подпорной стенки и торцевых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подпорной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 подпорной стенки и торцевых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и в узлах сопряжения торцевых стенок,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покрытия пешеходной зоны,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по створам и по трассе коллектора,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 у подошвы подпорной стенки и у торцевых стенок,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глубин по створам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 за подпорной стенкой и в затоне,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вычисляется по показаниям пьезометров и водомерной рейки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 подпорной стенки и торцевых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подпорной стенки и поверхности пешеходной зоны,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и узлов сопряжения; видимые деформации подпорной стенки и торцевых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и лестничного спуска;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поступление грунта в коллектор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осмотр смотровых колодцев коллектора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дна у подошвы подпорной стенки и у торцевых стенок, берега и съездов на окончаниях сооружения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и перепада уровней воды)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Позиция 1 (скорость осадки верха подпорной стенки и торцевых стенок).</w:t>
      </w:r>
      <w:r>
        <w:rPr>
          <w:rFonts w:ascii="Times New Roman" w:cs="Times New Roman" w:eastAsia="Times New Roman" w:hAnsi="Times New Roman"/>
        </w:rPr>
        <w:t xml:space="preserve"> Для сооружения, находящегося в эксплуатации длительное время (по сведениям ЕГРН – с 2014 года), консолидационные осадки основания следует считать завершившимися; продолжающиеся вертикальные смещения верха подпорной стенки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Позиция 2 (горизонтальные смещения верха подпорной стенки).</w:t>
      </w:r>
      <w:r>
        <w:rPr>
          <w:rFonts w:ascii="Times New Roman" w:cs="Times New Roman" w:eastAsia="Times New Roman" w:hAnsi="Times New Roman"/>
        </w:rPr>
        <w:t xml:space="preserve"> К1 = 20 мм и К2 = 40 мм (около 1/300 и 1/150 максимальной высоты видимой части сооружения, равной 6 м). Для вертикальной подпорной стенки, конструкция подземной части которой не установлена, горизонтальное смещение верха является интегральным показателем работы системы «стенка – основание – грунт обратной засыпки»: оно возрастает при уменьшении глубины заделки вследствие понижения отметок дна, росте неуравновешенного давления грунтовых вод при снижении уровня воды в затоне, податливости анкерного крепления (при его наличии) и при сейсмических воздействиях (сценарии В-2, В-3). Смещения в пределах К1 соответствуют работе сооружения без признаков исчерпания несущей способности; смещения, превышающие К2, свидетельствуют о развитии сдвиговых деформаций в основании или засыпке либо о повороте (опрокидывании) стенки.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3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не выше подошвы видимой части (на глубине не менее 6 м от верха; глубина заделки не установлена), смещение верха на 20 и 40 мм соответствует приращению наклона не более 3,3 и 6,7 мм на 1 м высоты; значения К1 и К2 приняты с округлением в меньшую сторону. Соотношение критериев позиций 2 и 3 подлежит уточнению после установления глубины заделки и наличия анкерного крепления (мероприятия 3 и 4 пункта 17 акта преддекларационного обследования). Показатель позволяет отличить поступательное смещение стенки от её поворота (опрокидывания), являющегося исходом сценария В-3, и применяется также к торцевым стенкам литер „II“.</w:t>
      </w:r>
    </w:p>
    <w:p>
      <w:pPr>
        <w:spacing w:after="60" w:before="0" w:line="252" w:lineRule="auto"/>
        <w:ind w:firstLine="709"/>
        <w:jc w:val="both"/>
      </w:pPr>
      <w:r>
        <w:rPr>
          <w:rFonts w:ascii="Times New Roman" w:cs="Times New Roman" w:eastAsia="Times New Roman" w:hAnsi="Times New Roman"/>
          <w:b/>
          <w:bCs/>
        </w:rPr>
        <w:t xml:space="preserve">Позиция 4 (взаимные смещения секций по деформационным швам и в узлах сопряжения торцевых стенок).</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В узлах сопряжения торцевых стенок литер „II“ с подпорной стенкой литер „I“ показатель характеризует утрату бокового удержания грунта обратной засыпки на окончаниях сооружения.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5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железобетонным элементам подпорной стенки литер „I“ и торцевых стенок литер „II“;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6 (местные просадки покрытия пешеходной зоны).</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обратной засыпки (в том числе в коллектор); образование полостей является предвестником провала (сценарий В-1). Контроль выполняется на всю ширину пешеходной зоны (6 м), что перекрывает верхнюю границу ширины призмы обрушения грунта обратной засыпки за стенкой высотой 6 м (b ≤ H = 6 м; подраздел 2.4.1), а также над трассой коллектора – по его оси и в полосе по 1,5 м в каждую сторону от неё после установления положения коллектора при инструментальном обследовании.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7 (понижение отметок дна у подошвы подпорной стенки и у торцевых стенок).</w:t>
      </w:r>
      <w:r>
        <w:rPr>
          <w:rFonts w:ascii="Times New Roman" w:cs="Times New Roman" w:eastAsia="Times New Roman" w:hAnsi="Times New Roman"/>
        </w:rPr>
        <w:t xml:space="preserve"> Глубина заделки подземной части стенки не установлена; понижение отметок дна у подошвы уменьшает глубину заделки и входит в число причин наиболее тяжёлой аварии (сценарий В-3). Характеристики русловых деформаций акватории затона в исходных данных отсутствуют; в основном русле реки Кубань глубинный размыв на отдельных участках обычно не превышает 1 м, интенсивность понижения уровней воды в черте города – 1–2 см/год (подраздел 2.2.3). В связи с этим К2 = 1,0 м принят равным верхней границе естественного диапазона местного размыва, К1 = 0,5 м – половине этой величины (раннее предупреждение). При погрешности промеров не более 0,1 м критерий К1 превышает погрешность в 5 раз. Показатель контролируется по всей длине подпорной стенки и у торцевых стенок литер „II“ (местный размыв и обход окончаний сооружения). Значение К2 подлежит обязательному уточнению расчётом устойчивости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8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подпорной стенки.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spacing w:after="60" w:before="0" w:line="252" w:lineRule="auto"/>
        <w:ind w:firstLine="709"/>
        <w:jc w:val="both"/>
      </w:pPr>
      <w:r>
        <w:rPr>
          <w:rFonts w:ascii="Times New Roman" w:cs="Times New Roman" w:eastAsia="Times New Roman" w:hAnsi="Times New Roman"/>
          <w:b/>
          <w:bCs/>
        </w:rPr>
        <w:t xml:space="preserve">Позиция 9 (перепад уровней воды за подпорной стенкой и в затоне).</w:t>
      </w:r>
      <w:r>
        <w:rPr>
          <w:rFonts w:ascii="Times New Roman" w:cs="Times New Roman" w:eastAsia="Times New Roman" w:hAnsi="Times New Roman"/>
        </w:rPr>
        <w:t xml:space="preserve"> Неуравновешенное давление грунтовых вод на подпорную стенку определяется перепадом Δh между уровнем воды в грунте обратной засыпки и уровнем воды в акватории затона; перепад является определяющей нагрузкой сценария наиболее тяжёлой аварии В-3 (снижение уровня воды в затоне при высоком уровне грунтовых вод за стенкой) и сценария В-2 (удержание воды в полости). В соответствии с РД 153-34.2-21.342-00 критериальные значения К1 назначаются для основного, К2 – для особого сочетания нагрузок. Наблюдения за уровнем грунтовых вод на участке ГТС не проводились; по справочным данным изысканий на смежном участке правого берега наибольший наблюдённый уровень грунтовых вод – 16,88 м БС (подраздел 2.2.3). Основное сочетание принято при перепаде 3,24 м (наибольший наблюдённый уровень грунтовых вод 16,88 м БС при уровне воды 13,64 м БС, отвечающем санитарному попуску), особое – при перепаде 4,17 м (уровень в грунте обратной засыпки 17,81 м БС, отвечающий среднему максимальному сбросному расходу 961 м³/с, сохраняется после быстрого снижения сбросного расхода до 80,0 м³/с; таблица 2.2.2). Перепад особого сочетания определяется разностью уровней по одной кривой Q = f(H) и от погрешности привязки абсолютных отметок не зависит; перепад основного сочетания определяется сопоставлением уровня грунтовых вод по изысканиям на смежном участке с уровнем воды по кривой расходов и зависит от их взаимной привязки (примечание к таблице 2.2.2), в связи с чем значение К1 подлежит первоочередному уточнению по данным пьезометрических наблюдений. Оба значения меньше высоты видимой части сооружения (6 м). Соответственно приняты К1 = 3,2 м (перепад основного сочетания нагрузок 3,24 м с округлением в меньшую сторону) и К2 = 4,2 м (перепад, превышающий перепад особого сочетания нагрузок 4,17 м). Поскольку устойчивость подпорной стенки при указанных сочетаниях расчётом не проверялась, значения являются предварительными и подлежат обязательному уточнению (в том числе в сторону уменьшения) по данным пьезометрических наблюдений и расчётом по мероприятию 4 пункта 17 акта преддекларационного обследования. Перепад определяется по пьезометрам П-1 – П-6 и водомерной рейке, в том числе ежедневно в течение трёх суток после снижения сбросного расхода из Краснодарского водохранилища.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и узлов сопряжения торцевых стенок; видимые деформации подпорной стенки и торцевых стенок; состояние покрытия пешеходной зоны, съездов и лестничного спуска; зарастание растительностью; состояние системы отвода поверхностной воды и коллектора в части влияния на ГТС;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дна и берега:</w:t>
      </w:r>
      <w:r>
        <w:rPr>
          <w:rFonts w:ascii="Times New Roman" w:cs="Times New Roman" w:eastAsia="Times New Roman" w:hAnsi="Times New Roman"/>
        </w:rPr>
        <w:t xml:space="preserve"> переуглубление дна у подошвы подпорной стенки и у торцевых стенок; состояние берега и съездов на окончаниях сооружения; затопление пешеходной зоны при высоких уровнях воды.</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подпорной стенки, характеристики материалов и грунтов на участке ГТС не установлены (пункт 10.2 акта преддекларационного обследования), сведения о сооружениях-аналогах отсутствуют; расчётное обоснование устойчивости подпорной стенки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101.13330.2023;</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5 таблицы 3.1.1) и экспертный метод на основе данных преддекларационного обследования, геометрических параметров видимой части сооружения, гидрологических данных и данных о русловых процессах, а также справочных данных инженерных изысканий на смежном участке правого берега (позиции 1–4, 6–9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электроконтактный уровнемер в пьезометре; водомерная рейка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3,2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160</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сценариев аварий расчёта вероятного вреда (подраздел 2.4.1, таблица 2.4.1а);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w:t>
            </w:r>
          </w:p>
          <w:p>
            <w:pPr>
              <w:keepNext/>
              <w:spacing w:after="0" w:before="0" w:line="240" w:lineRule="auto"/>
              <w:jc w:val="center"/>
            </w:pPr>
            <w:r>
              <w:rPr>
                <w:rFonts w:ascii="Times New Roman" w:cs="Times New Roman" w:eastAsia="Times New Roman" w:hAnsi="Times New Roman"/>
                <w:b/>
                <w:bCs/>
                <w:sz w:val="21"/>
                <w:szCs w:val="21"/>
              </w:rPr>
              <w:t xml:space="preserve">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раскрытия трещин в железобетонных элементах подпорной стенки литер „I“ и торцевых стенок литер „II“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покрытия пешеходной зоны (на всю ширину пешеходной зоны, в том числе над трассой коллектора общесплавной и ливневой канализации) относительно отметок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4,2</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1–4, 6–8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(позиция 1)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5 и 8 применяются к железобетонным элементам подпорной стенки литер „I“ и торцевых стенок литер „II“.</w:t>
      </w:r>
    </w:p>
    <w:p>
      <w:pPr>
        <w:spacing w:after="60" w:before="0" w:line="252" w:lineRule="auto"/>
        <w:ind w:firstLine="709"/>
        <w:jc w:val="both"/>
      </w:pPr>
      <w:r>
        <w:rPr>
          <w:rFonts w:ascii="Times New Roman" w:cs="Times New Roman" w:eastAsia="Times New Roman" w:hAnsi="Times New Roman"/>
          <w:sz w:val="22"/>
          <w:szCs w:val="22"/>
        </w:rPr>
        <w:t xml:space="preserve">4 Критерий К2 по позиции 7 и критерии К1, К2 по позиции 9 являются предварительными и подлежат уточнению расчётом устойчивости подпорной стенки (мероприятие 4 пункта 17 акта преддекларационного обследования), а по позиции 9 – также по данным пьезометрических наблюдений. Обоснование соотношения критериев позиций 2 и 3 подлежит уточнению после установления глубины заделки и наличия анкерного крепления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sz w:val="22"/>
          <w:szCs w:val="22"/>
        </w:rPr>
        <w:t xml:space="preserve">5 Позиция 9 определяется как разность уровня воды в пьезометре и уровня воды в Краснодарском затоне, измеренных одновременно.</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keepNext/>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обратной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подпорной стенки и торцевых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коллектор общесплавной и ливневой канализации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обратной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(пандусов) и лестничного спуска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и коллектора общесплавной и ливневой канализации Ø 1500 мм, проложенного в теле сооружения (дождеприёмники, смотровые колодцы, выпуск),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коллектора отсутствует либо отмечаются единичные отложения, не возобновляющиеся после очистки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пешеходной зоне; повреждения колодцев, коллектора, выпуска с утечкой воды в грунт обратной засыпки, размывом у выпуска, просадками над трассой; систематическое поступление грунта обратной засыпки в колодцы и коллектор (возобновление отложений после очистки)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по краю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при высоких уровнях воды в Краснодарском затоне, накат ветровых волн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наклоны подпорной стенки и торцевых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торцевых стенок и их сопряжения с подпорной стенкой не установлены (подраздел 2.1 расчёта вероятного вреда);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Ширина раскрытия трещин в железобетонных элементах подпорной стенки литер „I“ и торцевых стенок литер „II“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покрытия пешеходной зоны (на всю ширину пешеходной зоны, в том числе над трассой коллектора общесплавной и ливневой канализации) относительно отметок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Просадки и провалы покрытия пешеходной зоны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у подошвы сооружения не установлено (пункт 11.9 акта преддекларационного обследования). На момент обследования глубина воды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Пьезометры отсутствуют; уровень грунтовых вод за подпорной стенкой не измерялся. Значение не определено; подлежит определению после установки пьезометров. По справочным данным изысканий 2017–2018 гг. на участке правого берега от ул. Тургенева до Рождественской набережной уровень грунтовых вод – 13,15–16,88 м БС (подраздел 2.2 расчёта вероятного вреда)</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обратной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подпорной стенки и торцевых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коллектор общесплавной и ливневой канализации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обратной засыпки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подпорной стенки и торцевых стенок в перечне дефектов (пункт 11.9 акта преддекларационного обследования) не указаны; повреждения бетона в местах заделки стоек перильного ограждения учтены по позиции 13 (мероприятие 16 пункта 17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обратной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сопряжения торцевых стенок с подпорной стенкой не установлена (подраздел 2.1 расчёта вероятного вреда);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подпорной стенки и торцевых стенок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покрытия пешеходной зоны, съездов (пандусов) и лестничного спуска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трещины, просадки покрытия пешеходной зоны, съездов и лестничного спуска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(пункт 11.9 акта преддекларационного обследования). Растительность в деформационных швах и теле стенки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и коллектора общесплавной и ливневой канализации Ø 1500 мм, проложенного в теле сооружения (дождеприёмники, смотровые колодцы, выпуск),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коллектора отсутствует либо отмечаются единичные отложения, не возобновляющиеся после очистки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пешеходной зоне; повреждения колодцев, коллектора, выпуска с утечкой воды в грунт обратной засыпки, размывом у выпуска, просадками над трассой; систематическое поступление грунта обратной засыпки в колодцы и коллектор (возобновление отложений после очистки)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и выпуска коллектора, застой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по краю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 перечне дефектов (пункт 11.9 акта преддекларационного обследования) дефекты ограждения не указаны; мероприятием 16 пункта 17 акта преддекларационного обследования предусмотрены расчистка и антикоррозионная обработка стоек в местах заделки, восстановление бетона в местах заделки стоек и лакокрасочного покрытия (срок – не позднее 30.09.2027). Нарушение жёсткости крепления и ослабление сечения стоек не зафиксированы.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дна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акта преддекларационного обследования). Размывы у торцевых стенок и на окончаниях сооружения в перечне дефектов не указаны. В части, доступной визуальному осмотру, не превышает К1; по состоянию дна у подошвы значение не определено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Затопление (перелив воды на пешеходную зону) при высоких уровнях воды в Краснодарском затоне, накат ветровых волн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Сведения о затоплении пешеходной зоны и переливах воды отсутствуют; сведения о прошедших паводках в створе ГТС отсутствуют (пункт 10.6 акта преддекларационного обследования). Не превышает К1</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выявленный дефект (зарастание швов плиточного покрытия пешеходной зоны) не превышает К1; его устранение, а также работы по перильному ограждению предусмотрены мероприятием 16 пункта 17 акта преддекларационного обследования (срок – не позднее 30.09.2027);</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По результатам экспертной оценки, выполненной в расчёте вероятного вреда по ГОСТ Р 22.2.09-2015 (подраздел 3.5), уровень безопасности ГТС оценён как неудовлетворительный (доза вредного воздействия – 0,4522), вероятность аварии – 1,2·10⁻¹ 1/год при допустимой для сооружений III класса 2,5·10⁻³ 1/год; определяющими являются организационные обстоятельства, в том числе отсутствие критериев безопасности и контроля (мониторинга) состояния ГТС. Установление настоящих критериев безопасности и организация контроля (мониторинга) по разделу 4 относятся к мероприятиям, снижающим оценки по показателям a4 и b3 (подраздел 3.5 и таблица 61 расчёта вероятного вреда). Уровень безопасности ГТС устанавливается органом государственного надзора при утверждении декларации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в затоне, сбросной расход, сейсмические события, временные нагрузки на пешеходной зоне).</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пешеходной зоны и береговой полосы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пьезометров и водомерной рейки и включает плановую и высотную съёмку подпорной стенки, торцевых стенок, пешеходной зоны и трассы коллектора, промеры глубин по створам.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подпорной стенки, торцевых стенок и их деформационных швов (трещины, раковины, течи, коррозия); состояние покрытия пешеходной зоны (просадки, трещины, провалы, суффозионные явления), съездов и лестничного спуска; состояние дна у подошвы стенки и у торцевых стенок, берега на окончаниях сооружения; состояние смотровых колодцев коллектора (поступление грунта);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уточнённый по результатам геодезической съёмки.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 Кубань литер „I“ протяжённостью 270 м, торцевые стенки литер „II“ протяжённостью 25 м»</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Подпорная стенка литер „I“</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ширина раскрытия трещин (позиции 1–3,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Торцевые стенки литер „II“ и узлы их сопряжения с подпорной стенкой</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1, 3, 4, 5 табл. 3.1.1; позиции 1, 2, 4–9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МТ; щелемеры;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Деформационные швы подпорной стенки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4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Покрытие пешеходной зоны (на всю ширину), съезды, лестничный спуск, трасса коллектора</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6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по створам и по трассе коллектора,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Дно у подошвы подпорной стенки и у торцевых стенок; берег и съезды на окончаниях сооружения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7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по промерным створам; осмотр окончаний сооружения;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 ежегодно в сентябре – октябре после прохождения летних максимальных сбросных расходов, а также после пропуска расходов более 961 м³/с; осмотр окончаний – не реже 1 раза в месяц; водолазное обследование – при инструментальном обследовании, технических освидетельствованиях и при превышении К1 по позиции 7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и коллектор общесплавной и ливневой канализации (дождеприёмники, смотровые колодцы, выпуск)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12 табл. 3.2.1, в том числе наличие грунта обратной засыпки в колодцах и коллекторе</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вскрытие и осмотр смотровых колодцев; телеинспекция коллектора (по согласованию с его правообладателем)</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 колодцы – не реже 1 раза в квартал</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Грунт обратной засыпки за подпорной стенкой (пьезометры П-1 – П-6)</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грунтовых вод; позиция 9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электроконтактный уровнемер; одновременный отсчёт по водомерной рейке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при пропуске расходов более 961 м³/с и в течение 3 суток после снижения сбросного расхода – ежедневно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Бетон подпорной стенки и торцевых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8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в затоне, сбросной расход, сейсмические события, температура воздуха, временные нагрузки, затопление пешеходной зоны (позиции 1–5, 7 табл. 2.4.1; позиция 15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пешеходной зоне; после затопления пешеходной зоны.</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(по схеме ЕГРН; подлежит уточнению по результатам геодезической съёмки);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13 створов наблюдений С-1 – С-13 (нумерация от северного окончания), привязанных к окончаниям ГТС и углу поворота оси подпорной стенки, с шагом не более 22 м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подпорной стенки литер „I“ (М-1 – М-13) в каждом створе и на верху торцевых стенок литер „II“ (МТ-1, МТ-2);</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(за пределами пешеходной зоны со стороны города)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в узлах сопряжения торцевых стенок литер „II“ с подпорной стенкой литер „I“ и на всех деформационных швах подпорной стенки – после установления шага швов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С-13 в акваторию затона на расстояние не менее 30 м от лицевой грани подпорной стенки, с шагом промерных точек не более 2 м в полосе шириной 10 м у подошвы и не более 5 м за её пределами, а также промеры у торцевых стенок литер „II“;</w:t>
      </w:r>
    </w:p>
    <w:p>
      <w:pPr>
        <w:spacing w:after="40" w:before="0" w:line="252" w:lineRule="auto"/>
        <w:ind w:firstLine="709"/>
        <w:jc w:val="both"/>
      </w:pPr>
      <w:r>
        <w:rPr>
          <w:rFonts w:ascii="Times New Roman" w:cs="Times New Roman" w:eastAsia="Times New Roman" w:hAnsi="Times New Roman"/>
        </w:rPr>
        <w:t xml:space="preserve">– водомерную рейку у подпорной стенки (ориентировочно у угла поворота оси, ПК 1+34, створ С-7; место уточняется с учётом доступа с лестничного спуска), перекрывающую весь диапазон колебаний уровня воды в затоне (не менее 5,65 м), – при необходимости с продолжением свайными рейками до уреза воды на береговой полосе; нуль рейки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пьезометры П-1 – П-6 в грунте обратной засыпки за подпорной стенкой в створах С-2, С-4, С-6, С-8, С-10, С-12 – на расстоянии около 2 м от лицевой грани, вне трассы коллектора; фильтр пьезометра – в интервале колебаний уровня грунтовых вод, оголовок – в колодце с крышкой в уровне покрытия; места установки и отметки фильтров уточняются после установления положения коллектора и конструкции подземной части стенки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 МТ-1 (торцевая стенка);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0+27</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М-2; П-1;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0+48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0+70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М-4; П-2;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0+91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1+13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М-6; П-3;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1+34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сооружения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М-7; ВР (водомерная рейка);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1+56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М-8; П-4;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1+78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М-9;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2+00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М-10; П-5;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2+43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М-12; П-6;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2+65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М-13; МТ-2 (торцевая стенка);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и геодезической съёмки.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№1,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101.13330.2023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ГОСТ Р 22.2.09-2015 «Безопасность в чрезвычайных ситуациях. Экспертная оценка уровня безопасности и риска аварий гидротехнических сооружений. Общие положения».</w:t>
      </w:r>
    </w:p>
    <w:p>
      <w:pPr>
        <w:spacing w:after="60" w:before="0" w:line="252" w:lineRule="auto"/>
        <w:ind w:left="0" w:firstLine="0"/>
        <w:jc w:val="both"/>
      </w:pPr>
      <w:r>
        <w:rPr>
          <w:rFonts w:ascii="Times New Roman" w:cs="Times New Roman" w:eastAsia="Times New Roman" w:hAnsi="Times New Roman"/>
        </w:rPr>
        <w:t xml:space="preserve">22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23 Акт преддекларационного обследования гидротехнического сооружения «Берегоукрепление правого берега р. Кубань литер „I“ протяжённостью 270 м, торцевые стенки литер „II“ протяжённостью 25 м»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24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w:t>
      </w:r>
    </w:p>
    <w:p>
      <w:pPr>
        <w:spacing w:after="60" w:before="0" w:line="252" w:lineRule="auto"/>
        <w:ind w:left="0" w:firstLine="0"/>
        <w:jc w:val="both"/>
      </w:pPr>
      <w:r>
        <w:rPr>
          <w:rFonts w:ascii="Times New Roman" w:cs="Times New Roman" w:eastAsia="Times New Roman" w:hAnsi="Times New Roman"/>
        </w:rPr>
        <w:t xml:space="preserve">25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60" w:before="0" w:line="252" w:lineRule="auto"/>
        <w:ind w:left="0" w:firstLine="0"/>
        <w:jc w:val="both"/>
      </w:pPr>
      <w:r>
        <w:rPr>
          <w:rFonts w:ascii="Times New Roman" w:cs="Times New Roman" w:eastAsia="Times New Roman" w:hAnsi="Times New Roman"/>
        </w:rPr>
        <w:t xml:space="preserve">26 Письмо МКУ МО г. Краснодар «ГСЛК» от 03.08.2026 №2167.</w:t>
      </w:r>
    </w:p>
    <w:p>
      <w:pPr>
        <w:spacing w:after="60" w:before="0" w:line="252" w:lineRule="auto"/>
        <w:ind w:left="0" w:firstLine="0"/>
        <w:jc w:val="both"/>
      </w:pPr>
      <w:r>
        <w:rPr>
          <w:rFonts w:ascii="Times New Roman" w:cs="Times New Roman" w:eastAsia="Times New Roman" w:hAnsi="Times New Roman"/>
        </w:rPr>
        <w:t xml:space="preserve">27 Решение Ленинского районного суда города Краснодара от 15.09.2025 по делу №2-5581/2025.</w:t>
      </w:r>
    </w:p>
    <w:p>
      <w:pPr>
        <w:spacing w:after="60" w:before="0" w:line="252" w:lineRule="auto"/>
        <w:ind w:left="0" w:firstLine="0"/>
        <w:jc w:val="both"/>
      </w:pPr>
      <w:r>
        <w:rPr>
          <w:rFonts w:ascii="Times New Roman" w:cs="Times New Roman" w:eastAsia="Times New Roman" w:hAnsi="Times New Roman"/>
        </w:rPr>
        <w:t xml:space="preserve">28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гидротехническом сооружении «Берегоукрепление правого берега р. Кубань литер „I“ протяжённостью 270 м, торцевые стенки литер „II“ протяжённостью 25 м». – ООО «Технология Безопасности», 2026.</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23:43:0208042:1316) на земельных участках по сведениям раздела 4 выписки из ЕГРН от 19.03.2026 (масштаб схемы в выписке – 1:3000; в настоящем приложении масштаб изображения не соблюдается).</w:t>
      </w:r>
    </w:p>
    <w:p>
      <w:pPr>
        <w:spacing w:after="60" w:before="6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«23:43:0208042:1316» – гидротехническое сооружение «Берегоукрепление правого берега р. Кубань литер „I“ протяжённостью 270 м, торцевые стенки литер „II“ протяжённостью 25 м» (протяжённость – 295 м); подписи «23:43:0208042:1832», «:1817/1», «:1817/2», «:1817/3» – земельный участок и части земельного участка, указанные в пункте 9.3 акта преддекларационного обследования как участки, в пределах которых расположено ГТС.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429750" cy="6219825"/>
                    </a:xfrm>
                    <a:prstGeom prst="rect">
                      <a:avLst/>
                    </a:prstGeom>
                  </pic:spPr>
                </pic:pic>
              </a:graphicData>
            </a:graphic>
          </wp:inline>
        </w:drawing>
      </w:r>
    </w:p>
    <w:sectPr>
      <w:headerReference w:type="default" r:id="rId10"/>
      <w:pgSz w:w="16838" w:h="11906" w:orient="landscape"/>
      <w:pgMar w:top="850" w:right="567" w:bottom="425"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14fed23acdcc7c3cc07141b31e65ed19a8652ff5.png"/><Relationship Id="rId12" Type="http://schemas.openxmlformats.org/officeDocument/2006/relationships/image" Target="media/aee3bca1a02a3c13908b194b087c28cbe6f212b8.png"/><Relationship Id="rId13" Type="http://schemas.openxmlformats.org/officeDocument/2006/relationships/image" Target="media/42f96c9319fa2be4b069318da797b280ebd251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 Кубань литер „I“ протяжённостью 270 м, торцевые стенки литер „II“ протяжённостью 25 м»</dc:title>
  <dc:creator>МКУ МО г. Краснодар «ГСЛК»</dc:creator>
  <cp:lastModifiedBy>Un-named</cp:lastModifiedBy>
  <cp:revision>1</cp:revision>
  <dcterms:created xsi:type="dcterms:W3CDTF">2026-10-18T11:19:41.126Z</dcterms:created>
  <dcterms:modified xsi:type="dcterms:W3CDTF">2026-10-18T11:19:41.126Z</dcterms:modified>
</cp:coreProperties>
</file>

<file path=docProps/custom.xml><?xml version="1.0" encoding="utf-8"?>
<Properties xmlns="http://schemas.openxmlformats.org/officeDocument/2006/custom-properties" xmlns:vt="http://schemas.openxmlformats.org/officeDocument/2006/docPropsVTypes"/>
</file>