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A3" w:rsidRDefault="00083CD6">
      <w:pPr>
        <w:pStyle w:val="1"/>
        <w:keepNext/>
        <w:spacing w:before="280" w:after="140"/>
      </w:pPr>
      <w:r>
        <w:rPr>
          <w:b/>
          <w:bCs/>
        </w:rPr>
        <w:t>2. Текст доклада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1. Титульный слайд (≈ 20 с)</w:t>
      </w:r>
    </w:p>
    <w:p w:rsidR="002C6FA3" w:rsidRDefault="00083CD6">
      <w:pPr>
        <w:spacing w:after="120" w:line="360" w:lineRule="auto"/>
        <w:ind w:firstLine="567"/>
        <w:jc w:val="both"/>
      </w:pPr>
      <w:r>
        <w:t>Уважаемый председатель, уважаемы</w:t>
      </w:r>
      <w:r>
        <w:t>е коллеги! Представляю доклад о систематической погрешности заводской калибровки датчиков влажности CS616 в незасолённых почвах разного гранулометрического состава. Работа выполнена коллективом авторов Кубанского государственного аграрного университета.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</w:t>
      </w:r>
      <w:r>
        <w:rPr>
          <w:b/>
          <w:bCs/>
          <w:sz w:val="28"/>
          <w:szCs w:val="28"/>
        </w:rPr>
        <w:t>айд 2. Актуальность (≈ 55 с)</w:t>
      </w:r>
    </w:p>
    <w:p w:rsidR="002C6FA3" w:rsidRDefault="00083CD6">
      <w:pPr>
        <w:spacing w:after="120" w:line="360" w:lineRule="auto"/>
        <w:ind w:firstLine="567"/>
        <w:jc w:val="both"/>
      </w:pPr>
      <w:r>
        <w:t xml:space="preserve">Для управления орошением нужны непрерывные данные о влажности почвы, и один из самых распространённых инструментов для этого — </w:t>
      </w:r>
      <w:proofErr w:type="spellStart"/>
      <w:r>
        <w:t>рефлектометрический</w:t>
      </w:r>
      <w:proofErr w:type="spellEnd"/>
      <w:r>
        <w:t xml:space="preserve"> датчик CS616 компании </w:t>
      </w:r>
      <w:proofErr w:type="spellStart"/>
      <w:r>
        <w:t>Campbell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>. Влажность он рассчитывает по заводско</w:t>
      </w:r>
      <w:r>
        <w:t>му уравнению из периода выходного сигнала. Паспортный предел погрешности — плюс-минус 0,025 кубического метра на кубический метр; дальше я буду называть погрешность и влажность без единиц. Этот предел установлен в основном на супесях и более лёгких почвах.</w:t>
      </w:r>
      <w:r>
        <w:t xml:space="preserve"> В тяжёлых почвах электропроводность порового раствора и поверхностная проводимость глин удлиняют период сигнала, и датчик может завышать влажность, причём тем сильнее, чем влажнее почва. В почвах Краснодарского края физической глины бывает до 65 %, а коли</w:t>
      </w:r>
      <w:r>
        <w:t>чественных оценок этой погрешности для чернозёмов региона в литературе нет.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3. Цель и гипотеза (≈ 30 с)</w:t>
      </w:r>
    </w:p>
    <w:p w:rsidR="002C6FA3" w:rsidRDefault="00083CD6">
      <w:pPr>
        <w:spacing w:after="120" w:line="360" w:lineRule="auto"/>
        <w:ind w:firstLine="567"/>
        <w:jc w:val="both"/>
      </w:pPr>
      <w:r>
        <w:t>Цель работы — экспериментально оценить систематическую погрешность заводской калибровки в незасолённых почвах трёх гранулометрических групп при дв</w:t>
      </w:r>
      <w:r>
        <w:t>ух плотностях сложения и определить вклад каждого фактора и их взаимодействия. Мы предполагали, что погрешность определяется прежде всего содержанием физической глины и нелинейно растёт к насыщению, а влияние плотности значимо и зависит от гранулометрическ</w:t>
      </w:r>
      <w:r>
        <w:t>ого состава.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Слайд 4. Объекты и методы (≈ 60 с)</w:t>
      </w:r>
    </w:p>
    <w:p w:rsidR="002C6FA3" w:rsidRDefault="00083CD6">
      <w:pPr>
        <w:spacing w:after="120" w:line="360" w:lineRule="auto"/>
        <w:ind w:firstLine="567"/>
        <w:jc w:val="both"/>
      </w:pPr>
      <w:r>
        <w:t>Исследованы три почвы виноградников Краснодарского края: чернозём обыкновенный с 10–20 % физической глины — группа A, чернозём типичный с 40–50 % — группа B и лугово-чернозёмная почва с 50–65 % — группа C. Вс</w:t>
      </w:r>
      <w:r>
        <w:t>е почвы незасолённые. Почву набивали в колонки высотой 300 мм до плотности 1,35 и 1,52 г/см³, по три колонки на вариант, — всего шесть вариантов. Колонки насыщали снизу и ступенчато высушивали при 20 °C; в анализ вошли десять равновесных уровней влажности.</w:t>
      </w:r>
      <w:r>
        <w:t xml:space="preserve"> Эталоном служил </w:t>
      </w:r>
      <w:proofErr w:type="spellStart"/>
      <w:r>
        <w:t>термостатно</w:t>
      </w:r>
      <w:proofErr w:type="spellEnd"/>
      <w:r>
        <w:t>-весовой метод. По разности показаний датчика и эталона рассчитаны средняя систематическая погрешность MB и среднеквадратическая погрешность RMSE, выполнены дисперсионный и регрессионный анализ.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5. Погрешность заводской калибровки (≈ 50 с)</w:t>
      </w:r>
    </w:p>
    <w:p w:rsidR="002C6FA3" w:rsidRDefault="00083CD6">
      <w:pPr>
        <w:spacing w:after="120" w:line="360" w:lineRule="auto"/>
        <w:ind w:firstLine="567"/>
        <w:jc w:val="both"/>
      </w:pPr>
      <w:r>
        <w:t>Главный результат: во всех шести вариантах RMSE составила от 0,006 до 0,014, то есть ниже принятого критерия 0,02. При этом погрешность растёт с содержанием физической глины: от группы A к группе C RMSE ув</w:t>
      </w:r>
      <w:r>
        <w:t>еличивается примерно вдвое. MB во всех вариантах положительна, то есть датчик завышает влажность. В группе A она статистически не отличается от нуля, а в группах B и C завышение составляет в среднем от 0,006 до 0,010. Различие групп A и B чувствительно к о</w:t>
      </w:r>
      <w:r>
        <w:t>круглению исходных значений, поэтому p-значения мы рассматриваем как описательные.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6. Нелинейная зависимость от влажности (≈ 45 с)</w:t>
      </w:r>
    </w:p>
    <w:p w:rsidR="002C6FA3" w:rsidRDefault="00083CD6">
      <w:pPr>
        <w:spacing w:after="120" w:line="360" w:lineRule="auto"/>
        <w:ind w:firstLine="567"/>
        <w:jc w:val="both"/>
      </w:pPr>
      <w:r>
        <w:t>Внутри каждого варианта погрешность определяется влажностью. В сухой почве она близка к нулю во всех группах, а при увл</w:t>
      </w:r>
      <w:r>
        <w:t>ажнении кривые расходятся: в интервале влажности от 0,20 до 0,40 погрешность выросла на 0,008 в группе A и на 0,021 в группе C, то есть в 2,6 раза больше. Наибольшее значение среди анализируемых уровней, плюс 0,027 в группе C, превысило паспортный предел в</w:t>
      </w:r>
      <w:r>
        <w:t>сего на 0,002 — меньше, чем неопределённость эталонного метода.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Слайд 7. Вклад факторов (≈ 40 с)</w:t>
      </w:r>
    </w:p>
    <w:p w:rsidR="002C6FA3" w:rsidRDefault="00083CD6">
      <w:pPr>
        <w:spacing w:after="120" w:line="360" w:lineRule="auto"/>
        <w:ind w:firstLine="567"/>
        <w:jc w:val="both"/>
      </w:pPr>
      <w:r>
        <w:t>Различия между вариантами объясняют около 10 % общей изменчивости погрешности: гранулометрический состав — 9 %, плотность — 1 %. Остальные 90 % — это изменение</w:t>
      </w:r>
      <w:r>
        <w:t xml:space="preserve"> погрешности с влажностью внутри вариантов. Поэтому в общем дисперсионном анализе влияние гранулометрического состава формально незначимо, p = 0,074. Н</w:t>
      </w:r>
      <w:bookmarkStart w:id="0" w:name="_GoBack"/>
      <w:bookmarkEnd w:id="0"/>
      <w:r>
        <w:t>о если сравнивать группы при одинаковой влажности, порядок A, B, C сохраняется на каждом уровне, и эффект</w:t>
      </w:r>
      <w:r>
        <w:t xml:space="preserve"> значим: p = 0,013, а по критерию Фридмана p = 0,004.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8. Связь с гигроскопичностью и электропроводностью (≈ 30 с)</w:t>
      </w:r>
    </w:p>
    <w:p w:rsidR="002C6FA3" w:rsidRDefault="00083CD6">
      <w:pPr>
        <w:spacing w:after="120" w:line="360" w:lineRule="auto"/>
        <w:ind w:firstLine="567"/>
        <w:jc w:val="both"/>
      </w:pPr>
      <w:r>
        <w:t>От чего зависит уровень погрешности? MB линейно растёт с максимальной гигроскопической влажностью — показателем удельной поверхности поч</w:t>
      </w:r>
      <w:r>
        <w:t>вы, R² = 0,88. Но с электропроводностью вытяжки она связана не менее тесно, R² = 0,96, а эти два показателя коррелируют между собой. Поэтому разделить вклад поверхностной проводимости глин и проводимости порового раствора по нашим данным нельзя.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9. П</w:t>
      </w:r>
      <w:r>
        <w:rPr>
          <w:b/>
          <w:bCs/>
          <w:sz w:val="28"/>
          <w:szCs w:val="28"/>
        </w:rPr>
        <w:t>лотность сложения и набухание (≈ 45 с)</w:t>
      </w:r>
    </w:p>
    <w:p w:rsidR="002C6FA3" w:rsidRDefault="00083CD6">
      <w:pPr>
        <w:spacing w:after="120" w:line="360" w:lineRule="auto"/>
        <w:ind w:firstLine="567"/>
        <w:jc w:val="both"/>
      </w:pPr>
      <w:r>
        <w:t>Влияние плотности оказалось неожиданным. Модель CRIM предсказывает, что уплотнение до 1,52 г/см³ увеличит показания примерно на 0,01. Фактически во всех группах MB немного уменьшилась, на 0,001–0,002; эффект незначим,</w:t>
      </w:r>
      <w:r>
        <w:t xml:space="preserve"> и доверительный интервал исключает прогноз модели. Возможная причина — более низкая электропроводность в плотных вариантах. Взаимодействия факторов нет. Почва группы C при высокой плотности набухла на 8,3 % по объёму, но при расчёте эталона по фактическом</w:t>
      </w:r>
      <w:r>
        <w:t>у объёму колонки дополнительной погрешности от набухания не выявлено.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10. Выводы (≈ 45 с)</w:t>
      </w:r>
    </w:p>
    <w:p w:rsidR="002C6FA3" w:rsidRDefault="00083CD6">
      <w:pPr>
        <w:spacing w:after="120" w:line="360" w:lineRule="auto"/>
        <w:ind w:firstLine="567"/>
        <w:jc w:val="both"/>
      </w:pPr>
      <w:r>
        <w:t>Выводы. Первый: заводская калибровка CS616 пригодна для исследованных незасолённых почв, если допустима RMSE 0,02. Второй: в почвах с 40–65 % физической глины д</w:t>
      </w:r>
      <w:r>
        <w:t xml:space="preserve">атчик систематически завышает влажность, в среднем на </w:t>
      </w:r>
      <w:r>
        <w:lastRenderedPageBreak/>
        <w:t>0,006–0,010 и до 0,027 во влажной почве. Третий: гипотеза подтверждена частично. Связь с гранулометрическим составом и нелинейный рост с влажностью подтвердились, но значимого влияния плотности нет, а в</w:t>
      </w:r>
      <w:r>
        <w:t>клад гранулометрического состава не отделён от вклада электропроводности. Оговорюсь, что это лабораторные данные, и каждая группа представлена одной почвой.</w:t>
      </w:r>
    </w:p>
    <w:p w:rsidR="002C6FA3" w:rsidRDefault="00083CD6">
      <w:pPr>
        <w:pStyle w:val="2"/>
        <w:keepNext/>
        <w:spacing w:before="280" w:after="140"/>
      </w:pPr>
      <w:r>
        <w:rPr>
          <w:b/>
          <w:bCs/>
          <w:sz w:val="28"/>
          <w:szCs w:val="28"/>
        </w:rPr>
        <w:t>Слайд 11. Рекомендации (≈ 35 с)</w:t>
      </w:r>
    </w:p>
    <w:p w:rsidR="002C6FA3" w:rsidRDefault="00083CD6">
      <w:pPr>
        <w:spacing w:after="120" w:line="360" w:lineRule="auto"/>
        <w:ind w:firstLine="567"/>
        <w:jc w:val="both"/>
      </w:pPr>
      <w:r>
        <w:t>Практические рекомендации. Для лёгких почв, сходных с почвой группы</w:t>
      </w:r>
      <w:r>
        <w:t xml:space="preserve"> A, заводскую калибровку можно использовать без коррекции. Для тяжёлых почв, если важны пороги полива вблизи наименьшей влагоёмкости, нужна калибровка под конкретную почву или проверка </w:t>
      </w:r>
      <w:proofErr w:type="spellStart"/>
      <w:r>
        <w:t>термостатно</w:t>
      </w:r>
      <w:proofErr w:type="spellEnd"/>
      <w:r>
        <w:t>-весовым методом 1–2 раза за сезон. Постоянная поправка не г</w:t>
      </w:r>
      <w:r>
        <w:t>одится, потому что погрешность растёт с влажностью. Спасибо за внимание! Готов ответить на вопросы.</w:t>
      </w:r>
    </w:p>
    <w:p w:rsidR="002C6FA3" w:rsidRDefault="00083CD6">
      <w:pPr>
        <w:pStyle w:val="1"/>
        <w:keepNext/>
        <w:spacing w:before="280" w:after="140"/>
      </w:pPr>
      <w:r>
        <w:rPr>
          <w:b/>
          <w:bCs/>
        </w:rPr>
        <w:t>3. Вероятные вопросы и краткие ответы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 1. Почему ваши RMSE (0,006–0,014 м³/м³) ниже, чем в большинстве опубликованных работ?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 xml:space="preserve">Опыт лабораторный: равновесные состояния, постоянная температура 20 °C, а погрешность рассчитана по средним для трёх колонок. В эти значения не входит разброс между датчиками, который по данным изготовителя составляет ±0,005 м³/м³ в сухой и ±0,015 м³/м³ в </w:t>
      </w:r>
      <w:r>
        <w:t>насыщенной почве, поэтому погрешность отдельного датчика в поле может быть больше.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 2. Почему в дисперсионном анализе влияние гранулометрического состава незначимо (p = 0,074), а вы говорите о его влиянии?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>Около 90 % изменчивости погрешности —</w:t>
      </w:r>
      <w:r>
        <w:t xml:space="preserve"> её рост с влажностью внутри каждого варианта, и эта изменчивость входит в ошибку анализа. При сравнении групп на одинаковых уровнях влажности порядок A </w:t>
      </w:r>
      <w:proofErr w:type="gramStart"/>
      <w:r>
        <w:t>&lt; B</w:t>
      </w:r>
      <w:proofErr w:type="gramEnd"/>
      <w:r>
        <w:t xml:space="preserve"> ≤ C сохраняется на каждом уровне (F(2; 10) = 6,92; p = 0,013; критерий Фридмана p = 0,004). Оба </w:t>
      </w:r>
      <w:r>
        <w:lastRenderedPageBreak/>
        <w:t>тес</w:t>
      </w:r>
      <w:r>
        <w:t>та описательные, так как уровни влажности — последовательные состояния одних и тех же колонок.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 3. Почему уплотнение не дало эффекта, предсказанного моделью CRIM?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>Прогноз CRIM — около +0,009…+0,010 м³/м³, наблюдаемая разность — −0,001…−0,002 м</w:t>
      </w:r>
      <w:r>
        <w:t xml:space="preserve">³/м³. Возможные причины: более низкая </w:t>
      </w:r>
      <w:proofErr w:type="spellStart"/>
      <w:r>
        <w:t>ECe</w:t>
      </w:r>
      <w:proofErr w:type="spellEnd"/>
      <w:r>
        <w:t xml:space="preserve"> в плотных вариантах (на 0,07–0,12 </w:t>
      </w:r>
      <w:proofErr w:type="spellStart"/>
      <w:r>
        <w:t>дСм</w:t>
      </w:r>
      <w:proofErr w:type="spellEnd"/>
      <w:r>
        <w:t>/м), что уменьшает удлинение периода сигнала, и разные диапазоны влажности вариантов. Малый реальный эффект плотности по нашим данным нельзя ни подтвердить, ни исключить.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</w:t>
      </w:r>
      <w:r>
        <w:rPr>
          <w:b/>
          <w:bCs/>
        </w:rPr>
        <w:t xml:space="preserve"> 4. Можно ли разделить влияние гранулометрического состава и засолённости?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 xml:space="preserve">В этих почвах нет: </w:t>
      </w:r>
      <w:proofErr w:type="spellStart"/>
      <w:r>
        <w:t>ECe</w:t>
      </w:r>
      <w:proofErr w:type="spellEnd"/>
      <w:r>
        <w:t xml:space="preserve"> растёт вместе с содержанием физической глины (r = 0,88 между </w:t>
      </w:r>
      <w:proofErr w:type="spellStart"/>
      <w:r>
        <w:t>ECe</w:t>
      </w:r>
      <w:proofErr w:type="spellEnd"/>
      <w:r>
        <w:t xml:space="preserve"> и МГ), и в регрессии </w:t>
      </w:r>
      <w:proofErr w:type="spellStart"/>
      <w:r>
        <w:t>ECe</w:t>
      </w:r>
      <w:proofErr w:type="spellEnd"/>
      <w:r>
        <w:t xml:space="preserve"> объясняет MB не хуже МГ. Засолённые варианты опыта (</w:t>
      </w:r>
      <w:proofErr w:type="spellStart"/>
      <w:r>
        <w:t>ECe</w:t>
      </w:r>
      <w:proofErr w:type="spellEnd"/>
      <w:r>
        <w:t xml:space="preserve"> 1–4 </w:t>
      </w:r>
      <w:proofErr w:type="spellStart"/>
      <w:r>
        <w:t>д</w:t>
      </w:r>
      <w:r>
        <w:t>См</w:t>
      </w:r>
      <w:proofErr w:type="spellEnd"/>
      <w:r>
        <w:t>/м) рассматриваются в отдельной статье авторов; для разделения факторов нужны дополнительные почвы.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 5. Можно ли переносить результаты на полевые условия?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>Только с оговорками. Испытана лишь ветвь иссушения, при 20 °C; в поле обязательна темп</w:t>
      </w:r>
      <w:r>
        <w:t>ературная поправка: по данным изготовителя отклонение на 10 °C меняет показания на 0,02–0,08 м³/м³ при влажности 0,2–0,4 м³/м³. Каждая группа представлена одной почвой, поэтому выводы для диапазонов физической глины — экстраполяция.</w:t>
      </w:r>
    </w:p>
    <w:p w:rsidR="002C6FA3" w:rsidRDefault="00083CD6">
      <w:pPr>
        <w:spacing w:after="120" w:line="360" w:lineRule="auto"/>
        <w:jc w:val="both"/>
      </w:pPr>
      <w:r>
        <w:rPr>
          <w:b/>
          <w:bCs/>
        </w:rPr>
        <w:t>Вопрос 6. Что вы рекоме</w:t>
      </w:r>
      <w:r>
        <w:rPr>
          <w:b/>
          <w:bCs/>
        </w:rPr>
        <w:t>ндуете на практике?</w:t>
      </w:r>
    </w:p>
    <w:p w:rsidR="002C6FA3" w:rsidRDefault="00083CD6">
      <w:pPr>
        <w:spacing w:after="120" w:line="360" w:lineRule="auto"/>
        <w:jc w:val="both"/>
      </w:pPr>
      <w:r>
        <w:rPr>
          <w:i/>
          <w:iCs/>
        </w:rPr>
        <w:t xml:space="preserve">Ответ. </w:t>
      </w:r>
      <w:r>
        <w:t xml:space="preserve">Для лёгких почв (10–20 % физической глины) заводская калибровка пригодна без коррекции. Для тяжёлых почв, если важны пороги полива вблизи наименьшей влагоёмкости, — калибровка под конкретную почву или проверка </w:t>
      </w:r>
      <w:proofErr w:type="spellStart"/>
      <w:r>
        <w:t>термостатно</w:t>
      </w:r>
      <w:proofErr w:type="spellEnd"/>
      <w:r>
        <w:t>-весовым</w:t>
      </w:r>
      <w:r>
        <w:t xml:space="preserve"> методом 1–2 раза за сезон. Постоянная поправка по МГ недостаточна, так как погрешность растёт с влажностью и связана также с </w:t>
      </w:r>
      <w:proofErr w:type="spellStart"/>
      <w:r>
        <w:t>ECe</w:t>
      </w:r>
      <w:proofErr w:type="spellEnd"/>
      <w:r>
        <w:t>.</w:t>
      </w:r>
    </w:p>
    <w:p w:rsidR="002C6FA3" w:rsidRDefault="00083CD6">
      <w:pPr>
        <w:pStyle w:val="1"/>
        <w:keepNext/>
        <w:spacing w:before="280" w:after="140"/>
      </w:pPr>
      <w:r>
        <w:rPr>
          <w:b/>
          <w:bCs/>
        </w:rPr>
        <w:lastRenderedPageBreak/>
        <w:t>4. Примечания для докладчика</w:t>
      </w:r>
    </w:p>
    <w:p w:rsidR="002C6FA3" w:rsidRDefault="00083CD6">
      <w:pPr>
        <w:pStyle w:val="a4"/>
        <w:numPr>
          <w:ilvl w:val="0"/>
          <w:numId w:val="2"/>
        </w:numPr>
        <w:spacing w:after="80" w:line="340" w:lineRule="auto"/>
        <w:jc w:val="both"/>
      </w:pPr>
      <w:r>
        <w:rPr>
          <w:b/>
          <w:bCs/>
        </w:rPr>
        <w:t>В презентацию не включены фрагменты, которые в итоговой статье выделены жёлтым и ещё не подтверж</w:t>
      </w:r>
      <w:r>
        <w:rPr>
          <w:b/>
          <w:bCs/>
        </w:rPr>
        <w:t xml:space="preserve">дены авторами. </w:t>
      </w:r>
      <w:r>
        <w:t xml:space="preserve">Прежде всего это значения </w:t>
      </w:r>
      <w:proofErr w:type="spellStart"/>
      <w:r>
        <w:t>Δθ</w:t>
      </w:r>
      <w:proofErr w:type="spellEnd"/>
      <w:r>
        <w:t xml:space="preserve"> = 0,031 и 0,038 м³/м³ для C1-n при θ = 0,44 и 0,48 м³/м³: все числа доклада относятся к десяти анализируемым уровням влажности. Если авторы подтвердят эти значения, на слайд 6 можно добавить примечание «ближе к н</w:t>
      </w:r>
      <w:r>
        <w:t>асыщению погрешность в группе C была больше (до +0,038 м³/м³ в состояниях, не вошедших в анализ)».</w:t>
      </w:r>
    </w:p>
    <w:p w:rsidR="002C6FA3" w:rsidRDefault="00083CD6">
      <w:pPr>
        <w:pStyle w:val="a4"/>
        <w:numPr>
          <w:ilvl w:val="0"/>
          <w:numId w:val="2"/>
        </w:numPr>
        <w:spacing w:after="80" w:line="340" w:lineRule="auto"/>
        <w:jc w:val="both"/>
      </w:pPr>
      <w:r>
        <w:rPr>
          <w:b/>
          <w:bCs/>
        </w:rPr>
        <w:t xml:space="preserve">Названия почв (чернозём обыкновенный, чернозём типичный, лугово-чернозёмная почва) </w:t>
      </w:r>
      <w:r>
        <w:t>взяты из статьи; их подтипы и система классификации тоже ждут подтверждени</w:t>
      </w:r>
      <w:r>
        <w:t>я авторов (отчёт о доработке, раздел 4, п. 1–2). Если названия изменятся, исправьте слайд 4 и текст к нему.</w:t>
      </w:r>
    </w:p>
    <w:p w:rsidR="002C6FA3" w:rsidRDefault="00083CD6">
      <w:pPr>
        <w:pStyle w:val="a4"/>
        <w:numPr>
          <w:ilvl w:val="0"/>
          <w:numId w:val="2"/>
        </w:numPr>
        <w:spacing w:after="80" w:line="340" w:lineRule="auto"/>
        <w:jc w:val="both"/>
      </w:pPr>
      <w:r>
        <w:rPr>
          <w:b/>
          <w:bCs/>
        </w:rPr>
        <w:t xml:space="preserve">Титульный слайд. </w:t>
      </w:r>
      <w:r>
        <w:t>Добавьте название и дату конференции, если этого требует оргкомитет, и при необходимости уточните место работы соавторов (сейчас ук</w:t>
      </w:r>
      <w:r>
        <w:t>азан Кубанский ГАУ имени И. Т. Трубилина).</w:t>
      </w:r>
    </w:p>
    <w:p w:rsidR="002C6FA3" w:rsidRDefault="00083CD6">
      <w:pPr>
        <w:pStyle w:val="a4"/>
        <w:numPr>
          <w:ilvl w:val="0"/>
          <w:numId w:val="2"/>
        </w:numPr>
        <w:spacing w:after="80" w:line="340" w:lineRule="auto"/>
        <w:jc w:val="both"/>
      </w:pPr>
      <w:r>
        <w:rPr>
          <w:b/>
          <w:bCs/>
        </w:rPr>
        <w:t xml:space="preserve">Числа на диаграммах </w:t>
      </w:r>
      <w:r>
        <w:t xml:space="preserve">выводятся с десятичным разделителем, заданным в языковых настройках </w:t>
      </w:r>
      <w:proofErr w:type="spellStart"/>
      <w:r>
        <w:t>PowerPoint</w:t>
      </w:r>
      <w:proofErr w:type="spellEnd"/>
      <w:r>
        <w:t xml:space="preserve">: при русском языке это запятая. Все числа в презентации и докладе взяты из итоговой статьи (таблицы II–V и раздел </w:t>
      </w:r>
      <w:r>
        <w:t xml:space="preserve">результатов) и перепроверены пересчётом: регрессии MB по МГ и </w:t>
      </w:r>
      <w:proofErr w:type="spellStart"/>
      <w:r>
        <w:t>ECe</w:t>
      </w:r>
      <w:proofErr w:type="spellEnd"/>
      <w:r>
        <w:t>, прогноз CRIM и отношения приростов погрешности совпали с опубликованными значениями.</w:t>
      </w:r>
    </w:p>
    <w:sectPr w:rsidR="002C6FA3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4C5DD9"/>
    <w:multiLevelType w:val="hybridMultilevel"/>
    <w:tmpl w:val="1CECEF76"/>
    <w:lvl w:ilvl="0" w:tplc="3BA6C73C">
      <w:start w:val="1"/>
      <w:numFmt w:val="bullet"/>
      <w:lvlText w:val="•"/>
      <w:lvlJc w:val="left"/>
      <w:pPr>
        <w:ind w:left="567" w:hanging="283"/>
      </w:pPr>
    </w:lvl>
    <w:lvl w:ilvl="1" w:tplc="F086E00E">
      <w:numFmt w:val="decimal"/>
      <w:lvlText w:val=""/>
      <w:lvlJc w:val="left"/>
    </w:lvl>
    <w:lvl w:ilvl="2" w:tplc="28AE2214">
      <w:numFmt w:val="decimal"/>
      <w:lvlText w:val=""/>
      <w:lvlJc w:val="left"/>
    </w:lvl>
    <w:lvl w:ilvl="3" w:tplc="BCDCED14">
      <w:numFmt w:val="decimal"/>
      <w:lvlText w:val=""/>
      <w:lvlJc w:val="left"/>
    </w:lvl>
    <w:lvl w:ilvl="4" w:tplc="BBFA0868">
      <w:numFmt w:val="decimal"/>
      <w:lvlText w:val=""/>
      <w:lvlJc w:val="left"/>
    </w:lvl>
    <w:lvl w:ilvl="5" w:tplc="BA4EB59A">
      <w:numFmt w:val="decimal"/>
      <w:lvlText w:val=""/>
      <w:lvlJc w:val="left"/>
    </w:lvl>
    <w:lvl w:ilvl="6" w:tplc="854E9ACC">
      <w:numFmt w:val="decimal"/>
      <w:lvlText w:val=""/>
      <w:lvlJc w:val="left"/>
    </w:lvl>
    <w:lvl w:ilvl="7" w:tplc="12965A88">
      <w:numFmt w:val="decimal"/>
      <w:lvlText w:val=""/>
      <w:lvlJc w:val="left"/>
    </w:lvl>
    <w:lvl w:ilvl="8" w:tplc="9ADA063E">
      <w:numFmt w:val="decimal"/>
      <w:lvlText w:val=""/>
      <w:lvlJc w:val="left"/>
    </w:lvl>
  </w:abstractNum>
  <w:abstractNum w:abstractNumId="1" w15:restartNumberingAfterBreak="0">
    <w:nsid w:val="7552107F"/>
    <w:multiLevelType w:val="hybridMultilevel"/>
    <w:tmpl w:val="324CD9AC"/>
    <w:lvl w:ilvl="0" w:tplc="4FE2E3E2">
      <w:start w:val="1"/>
      <w:numFmt w:val="bullet"/>
      <w:lvlText w:val="●"/>
      <w:lvlJc w:val="left"/>
      <w:pPr>
        <w:ind w:left="720" w:hanging="360"/>
      </w:pPr>
    </w:lvl>
    <w:lvl w:ilvl="1" w:tplc="DA081E3E">
      <w:start w:val="1"/>
      <w:numFmt w:val="bullet"/>
      <w:lvlText w:val="○"/>
      <w:lvlJc w:val="left"/>
      <w:pPr>
        <w:ind w:left="1440" w:hanging="360"/>
      </w:pPr>
    </w:lvl>
    <w:lvl w:ilvl="2" w:tplc="B2D6487C">
      <w:start w:val="1"/>
      <w:numFmt w:val="bullet"/>
      <w:lvlText w:val="■"/>
      <w:lvlJc w:val="left"/>
      <w:pPr>
        <w:ind w:left="2160" w:hanging="360"/>
      </w:pPr>
    </w:lvl>
    <w:lvl w:ilvl="3" w:tplc="1F9AD5E6">
      <w:start w:val="1"/>
      <w:numFmt w:val="bullet"/>
      <w:lvlText w:val="●"/>
      <w:lvlJc w:val="left"/>
      <w:pPr>
        <w:ind w:left="2880" w:hanging="360"/>
      </w:pPr>
    </w:lvl>
    <w:lvl w:ilvl="4" w:tplc="998E5C18">
      <w:start w:val="1"/>
      <w:numFmt w:val="bullet"/>
      <w:lvlText w:val="○"/>
      <w:lvlJc w:val="left"/>
      <w:pPr>
        <w:ind w:left="3600" w:hanging="360"/>
      </w:pPr>
    </w:lvl>
    <w:lvl w:ilvl="5" w:tplc="86D8B1DA">
      <w:start w:val="1"/>
      <w:numFmt w:val="bullet"/>
      <w:lvlText w:val="■"/>
      <w:lvlJc w:val="left"/>
      <w:pPr>
        <w:ind w:left="4320" w:hanging="360"/>
      </w:pPr>
    </w:lvl>
    <w:lvl w:ilvl="6" w:tplc="80B083E6">
      <w:start w:val="1"/>
      <w:numFmt w:val="bullet"/>
      <w:lvlText w:val="●"/>
      <w:lvlJc w:val="left"/>
      <w:pPr>
        <w:ind w:left="5040" w:hanging="360"/>
      </w:pPr>
    </w:lvl>
    <w:lvl w:ilvl="7" w:tplc="9E663D38">
      <w:start w:val="1"/>
      <w:numFmt w:val="bullet"/>
      <w:lvlText w:val="●"/>
      <w:lvlJc w:val="left"/>
      <w:pPr>
        <w:ind w:left="5760" w:hanging="360"/>
      </w:pPr>
    </w:lvl>
    <w:lvl w:ilvl="8" w:tplc="D68409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FA3"/>
    <w:rsid w:val="00083CD6"/>
    <w:rsid w:val="002C6FA3"/>
    <w:rsid w:val="00A5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9116"/>
  <w15:docId w15:val="{9F7EE1EA-E818-4096-B228-25713FB8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Lena</cp:lastModifiedBy>
  <cp:revision>2</cp:revision>
  <dcterms:created xsi:type="dcterms:W3CDTF">2026-10-07T16:55:00Z</dcterms:created>
  <dcterms:modified xsi:type="dcterms:W3CDTF">2026-10-07T17:36:00Z</dcterms:modified>
</cp:coreProperties>
</file>