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26"/>
        </w:rPr>
        <w:t>ВЕДОМОСТЬ УСТРАНЕНИЯ ЗАМЕЧАНИЙ ЭКСПЕРТА</w:t>
      </w:r>
    </w:p>
    <w:p>
      <w:pPr>
        <w:spacing w:after="160"/>
        <w:jc w:val="center"/>
      </w:pPr>
      <w:r>
        <w:rPr>
          <w:b w:val="0"/>
          <w:sz w:val="24"/>
        </w:rPr>
        <w:t>к декларации безопасности гидротехнических сооружений пруда на реке Адамка в селе Заречный Граховского района Удмуртской Республики</w:t>
      </w:r>
    </w:p>
    <w:p>
      <w:pPr>
        <w:spacing w:after="160"/>
      </w:pPr>
      <w:r>
        <w:rPr>
          <w:b w:val="0"/>
        </w:rPr>
        <w:t>Эксплуатирующая организация (декларант): АУ «Управление Минприроды УР». Всего замечаний: 59. Все замечания устранены; примечания эксперта из итогового файла декларации удалены.</w:t>
      </w:r>
    </w:p>
    <w:tbl>
      <w:tblPr>
        <w:tblStyle w:val="TableGrid"/>
        <w:tblW w:type="auto" w:w="0"/>
        <w:jc w:val="center"/>
        <w:tblLayout w:type="fixed"/>
        <w:tblLook w:firstColumn="1" w:firstRow="1" w:lastColumn="0" w:lastRow="0" w:noHBand="0" w:noVBand="1" w:val="04A0"/>
        <w:tblLayout w:type="fixed"/>
      </w:tblPr>
      <w:tblGrid>
        <w:gridCol w:w="567"/>
        <w:gridCol w:w="907"/>
        <w:gridCol w:w="1928"/>
        <w:gridCol w:w="4649"/>
        <w:gridCol w:w="7087"/>
      </w:tblGrid>
      <w:tr>
        <w:trPr>
          <w:tblHeader w:val="true"/>
        </w:trPr>
        <w:tc>
          <w:tcPr>
            <w:tcW w:type="dxa" w:w="567"/>
            <w:shd w:val="clear" w:color="auto" w:fill="D9D9D9"/>
          </w:tcPr>
          <w:p>
            <w:pPr>
              <w:jc w:val="center"/>
            </w:pPr>
            <w:r/>
            <w:r>
              <w:rPr>
                <w:b/>
                <w:sz w:val="20"/>
              </w:rPr>
              <w:t>№ п/п</w:t>
            </w:r>
          </w:p>
        </w:tc>
        <w:tc>
          <w:tcPr>
            <w:tcW w:type="dxa" w:w="907"/>
            <w:shd w:val="clear" w:color="auto" w:fill="D9D9D9"/>
          </w:tcPr>
          <w:p>
            <w:pPr>
              <w:jc w:val="center"/>
            </w:pPr>
            <w:r/>
            <w:r>
              <w:rPr>
                <w:b/>
                <w:sz w:val="20"/>
              </w:rPr>
              <w:t>№ прим.</w:t>
            </w:r>
          </w:p>
        </w:tc>
        <w:tc>
          <w:tcPr>
            <w:tcW w:type="dxa" w:w="1928"/>
            <w:shd w:val="clear" w:color="auto" w:fill="D9D9D9"/>
          </w:tcPr>
          <w:p>
            <w:pPr>
              <w:jc w:val="center"/>
            </w:pPr>
            <w:r/>
            <w:r>
              <w:rPr>
                <w:b/>
                <w:sz w:val="20"/>
              </w:rPr>
              <w:t>Раздел, пункт ДБ</w:t>
            </w:r>
          </w:p>
        </w:tc>
        <w:tc>
          <w:tcPr>
            <w:tcW w:type="dxa" w:w="4649"/>
            <w:shd w:val="clear" w:color="auto" w:fill="D9D9D9"/>
          </w:tcPr>
          <w:p>
            <w:pPr>
              <w:jc w:val="center"/>
            </w:pPr>
            <w:r/>
            <w:r>
              <w:rPr>
                <w:b/>
                <w:sz w:val="20"/>
              </w:rPr>
              <w:t>Замечание эксперта</w:t>
            </w:r>
          </w:p>
        </w:tc>
        <w:tc>
          <w:tcPr>
            <w:tcW w:type="dxa" w:w="7087"/>
            <w:shd w:val="clear" w:color="auto" w:fill="D9D9D9"/>
          </w:tcPr>
          <w:p>
            <w:pPr>
              <w:jc w:val="center"/>
            </w:pPr>
            <w:r/>
            <w:r>
              <w:rPr>
                <w:b/>
                <w:sz w:val="20"/>
              </w:rPr>
              <w:t>Выполненное исправление</w:t>
            </w:r>
          </w:p>
        </w:tc>
      </w:tr>
      <w:tr>
        <w:trPr>
          <w:cantSplit w:val="true"/>
        </w:trPr>
        <w:tc>
          <w:tcPr>
            <w:tcW w:type="dxa" w:w="567"/>
          </w:tcPr>
          <w:p>
            <w:pPr>
              <w:jc w:val="center"/>
            </w:pPr>
            <w:r/>
            <w:r>
              <w:rPr>
                <w:sz w:val="20"/>
              </w:rPr>
              <w:t>1</w:t>
            </w:r>
          </w:p>
        </w:tc>
        <w:tc>
          <w:tcPr>
            <w:tcW w:type="dxa" w:w="907"/>
          </w:tcPr>
          <w:p>
            <w:pPr>
              <w:jc w:val="center"/>
            </w:pPr>
            <w:r/>
            <w:r>
              <w:rPr>
                <w:sz w:val="20"/>
              </w:rPr>
              <w:t>11</w:t>
            </w:r>
          </w:p>
        </w:tc>
        <w:tc>
          <w:tcPr>
            <w:tcW w:type="dxa" w:w="1928"/>
          </w:tcPr>
          <w:p>
            <w:pPr>
              <w:jc w:val="left"/>
            </w:pPr>
            <w:r/>
            <w:r>
              <w:rPr>
                <w:sz w:val="20"/>
              </w:rPr>
              <w:t>Список разработчиков</w:t>
            </w:r>
          </w:p>
        </w:tc>
        <w:tc>
          <w:tcPr>
            <w:tcW w:type="dxa" w:w="4649"/>
          </w:tcPr>
          <w:p>
            <w:pPr>
              <w:jc w:val="left"/>
            </w:pPr>
            <w:r/>
            <w:r>
              <w:rPr>
                <w:sz w:val="20"/>
              </w:rPr>
              <w:t>Добавьте собственника. В соответствии с 117-ФЗ ДБ разрабатывает собственник или эксплуатирующая</w:t>
            </w:r>
          </w:p>
        </w:tc>
        <w:tc>
          <w:tcPr>
            <w:tcW w:type="dxa" w:w="7087"/>
          </w:tcPr>
          <w:p>
            <w:pPr>
              <w:jc w:val="left"/>
            </w:pPr>
            <w:r/>
            <w:r>
              <w:rPr>
                <w:sz w:val="20"/>
              </w:rPr>
              <w:t>В список разработчиков включены эксплуатирующая организация (декларант) – АУ «Управление Минприроды УР» и её руководитель (директор С.Н. Бояринцев); указано, что декларация разработана эксплуатирующей организацией в соответствии со ст. 10 Федерального закона № 117-ФЗ с привлечением ИП Журавлев А.В.; приведены сведения о собственнике ГТС (Удмуртская Республика в лице Минимущества УР) и о закреплении ГТС за АУ на праве оперативного управления. В сведениях для Российского регистра ГТС (п. 25) организацией-разработчиком также указана эксплуатирующая организация.</w:t>
            </w:r>
          </w:p>
        </w:tc>
      </w:tr>
      <w:tr>
        <w:trPr>
          <w:cantSplit w:val="true"/>
        </w:trPr>
        <w:tc>
          <w:tcPr>
            <w:tcW w:type="dxa" w:w="567"/>
          </w:tcPr>
          <w:p>
            <w:pPr>
              <w:jc w:val="center"/>
            </w:pPr>
            <w:r/>
            <w:r>
              <w:rPr>
                <w:sz w:val="20"/>
              </w:rPr>
              <w:t>2</w:t>
            </w:r>
          </w:p>
        </w:tc>
        <w:tc>
          <w:tcPr>
            <w:tcW w:type="dxa" w:w="907"/>
          </w:tcPr>
          <w:p>
            <w:pPr>
              <w:jc w:val="center"/>
            </w:pPr>
            <w:r/>
            <w:r>
              <w:rPr>
                <w:sz w:val="20"/>
              </w:rPr>
              <w:t>19</w:t>
            </w:r>
          </w:p>
        </w:tc>
        <w:tc>
          <w:tcPr>
            <w:tcW w:type="dxa" w:w="1928"/>
          </w:tcPr>
          <w:p>
            <w:pPr>
              <w:jc w:val="left"/>
            </w:pPr>
            <w:r/>
            <w:r>
              <w:rPr>
                <w:sz w:val="20"/>
              </w:rPr>
              <w:t>п. 2</w:t>
            </w:r>
          </w:p>
        </w:tc>
        <w:tc>
          <w:tcPr>
            <w:tcW w:type="dxa" w:w="4649"/>
          </w:tcPr>
          <w:p>
            <w:pPr>
              <w:jc w:val="left"/>
            </w:pPr>
            <w:r/>
            <w:r>
              <w:rPr>
                <w:sz w:val="20"/>
              </w:rPr>
              <w:t>Не стоит ссылаться на эти документы. Они никак не являются документами подтверждающими год ввода в эксплуатацию. Достаточно написать также как в п.2 Акта</w:t>
            </w:r>
          </w:p>
        </w:tc>
        <w:tc>
          <w:tcPr>
            <w:tcW w:type="dxa" w:w="7087"/>
          </w:tcPr>
          <w:p>
            <w:pPr>
              <w:jc w:val="left"/>
            </w:pPr>
            <w:r/>
            <w:r>
              <w:rPr>
                <w:sz w:val="20"/>
              </w:rPr>
              <w:t>Ссылки на предыдущую декларацию, акт обследования 2022 г. и Российский регистр ГТС исключены; год ввода указан так же, как в п. 2 акта ПДО от 06.07.2026.</w:t>
            </w:r>
          </w:p>
        </w:tc>
      </w:tr>
      <w:tr>
        <w:trPr>
          <w:cantSplit w:val="true"/>
        </w:trPr>
        <w:tc>
          <w:tcPr>
            <w:tcW w:type="dxa" w:w="567"/>
          </w:tcPr>
          <w:p>
            <w:pPr>
              <w:jc w:val="center"/>
            </w:pPr>
            <w:r/>
            <w:r>
              <w:rPr>
                <w:sz w:val="20"/>
              </w:rPr>
              <w:t>3</w:t>
            </w:r>
          </w:p>
        </w:tc>
        <w:tc>
          <w:tcPr>
            <w:tcW w:type="dxa" w:w="907"/>
          </w:tcPr>
          <w:p>
            <w:pPr>
              <w:jc w:val="center"/>
            </w:pPr>
            <w:r/>
            <w:r>
              <w:rPr>
                <w:sz w:val="20"/>
              </w:rPr>
              <w:t>37</w:t>
            </w:r>
          </w:p>
        </w:tc>
        <w:tc>
          <w:tcPr>
            <w:tcW w:type="dxa" w:w="1928"/>
          </w:tcPr>
          <w:p>
            <w:pPr>
              <w:jc w:val="left"/>
            </w:pPr>
            <w:r/>
            <w:r>
              <w:rPr>
                <w:sz w:val="20"/>
              </w:rPr>
              <w:t>п. 5</w:t>
            </w:r>
          </w:p>
        </w:tc>
        <w:tc>
          <w:tcPr>
            <w:tcW w:type="dxa" w:w="4649"/>
          </w:tcPr>
          <w:p>
            <w:pPr>
              <w:jc w:val="left"/>
            </w:pPr>
            <w:r/>
            <w:r>
              <w:rPr>
                <w:sz w:val="20"/>
              </w:rPr>
              <w:t>Добавьте фразу «Сведения о банковских реквизитах отсутствуют»</w:t>
            </w:r>
          </w:p>
        </w:tc>
        <w:tc>
          <w:tcPr>
            <w:tcW w:type="dxa" w:w="7087"/>
          </w:tcPr>
          <w:p>
            <w:pPr>
              <w:jc w:val="left"/>
            </w:pPr>
            <w:r/>
            <w:r>
              <w:rPr>
                <w:sz w:val="20"/>
              </w:rPr>
              <w:t>Добавлена фраза «Сведения о банковских реквизитах отсутствуют».</w:t>
            </w:r>
          </w:p>
        </w:tc>
      </w:tr>
      <w:tr>
        <w:trPr>
          <w:cantSplit w:val="true"/>
        </w:trPr>
        <w:tc>
          <w:tcPr>
            <w:tcW w:type="dxa" w:w="567"/>
          </w:tcPr>
          <w:p>
            <w:pPr>
              <w:jc w:val="center"/>
            </w:pPr>
            <w:r/>
            <w:r>
              <w:rPr>
                <w:sz w:val="20"/>
              </w:rPr>
              <w:t>4</w:t>
            </w:r>
          </w:p>
        </w:tc>
        <w:tc>
          <w:tcPr>
            <w:tcW w:type="dxa" w:w="907"/>
          </w:tcPr>
          <w:p>
            <w:pPr>
              <w:jc w:val="center"/>
            </w:pPr>
            <w:r/>
            <w:r>
              <w:rPr>
                <w:sz w:val="20"/>
              </w:rPr>
              <w:t>44</w:t>
            </w:r>
          </w:p>
        </w:tc>
        <w:tc>
          <w:tcPr>
            <w:tcW w:type="dxa" w:w="1928"/>
          </w:tcPr>
          <w:p>
            <w:pPr>
              <w:jc w:val="left"/>
            </w:pPr>
            <w:r/>
            <w:r>
              <w:rPr>
                <w:sz w:val="20"/>
              </w:rPr>
              <w:t>п. 7</w:t>
            </w:r>
          </w:p>
        </w:tc>
        <w:tc>
          <w:tcPr>
            <w:tcW w:type="dxa" w:w="4649"/>
          </w:tcPr>
          <w:p>
            <w:pPr>
              <w:jc w:val="left"/>
            </w:pPr>
            <w:r/>
            <w:r>
              <w:rPr>
                <w:sz w:val="20"/>
              </w:rPr>
              <w:t>Филиал СПАО Ингосстрах в Удмуртии. Измените в соответствии с полисом</w:t>
            </w:r>
          </w:p>
        </w:tc>
        <w:tc>
          <w:tcPr>
            <w:tcW w:type="dxa" w:w="7087"/>
          </w:tcPr>
          <w:p>
            <w:pPr>
              <w:jc w:val="left"/>
            </w:pPr>
            <w:r/>
            <w:r>
              <w:rPr>
                <w:sz w:val="20"/>
              </w:rPr>
              <w:t>Сведения о страховщике приведены в соответствии с полисом: Филиал СПАО «Ингосстрах» в Удмуртской Республике (представитель страховщика по полису); ИНН, КПП, ОГРН СПАО «Ингосстрах», адрес страховщика и адрес филиала, телефон, дата выдачи полиса.</w:t>
            </w:r>
          </w:p>
        </w:tc>
      </w:tr>
      <w:tr>
        <w:trPr>
          <w:cantSplit w:val="true"/>
        </w:trPr>
        <w:tc>
          <w:tcPr>
            <w:tcW w:type="dxa" w:w="567"/>
          </w:tcPr>
          <w:p>
            <w:pPr>
              <w:jc w:val="center"/>
            </w:pPr>
            <w:r/>
            <w:r>
              <w:rPr>
                <w:sz w:val="20"/>
              </w:rPr>
              <w:t>5</w:t>
            </w:r>
          </w:p>
        </w:tc>
        <w:tc>
          <w:tcPr>
            <w:tcW w:type="dxa" w:w="907"/>
          </w:tcPr>
          <w:p>
            <w:pPr>
              <w:jc w:val="center"/>
            </w:pPr>
            <w:r/>
            <w:r>
              <w:rPr>
                <w:sz w:val="20"/>
              </w:rPr>
              <w:t>52</w:t>
            </w:r>
          </w:p>
        </w:tc>
        <w:tc>
          <w:tcPr>
            <w:tcW w:type="dxa" w:w="1928"/>
          </w:tcPr>
          <w:p>
            <w:pPr>
              <w:jc w:val="left"/>
            </w:pPr>
            <w:r/>
            <w:r>
              <w:rPr>
                <w:sz w:val="20"/>
              </w:rPr>
              <w:t>п. 8.2</w:t>
            </w:r>
          </w:p>
        </w:tc>
        <w:tc>
          <w:tcPr>
            <w:tcW w:type="dxa" w:w="4649"/>
          </w:tcPr>
          <w:p>
            <w:pPr>
              <w:jc w:val="left"/>
            </w:pPr>
            <w:r/>
            <w:r>
              <w:rPr>
                <w:sz w:val="20"/>
              </w:rPr>
              <w:t>Это не гидрографическая схема</w:t>
            </w:r>
          </w:p>
        </w:tc>
        <w:tc>
          <w:tcPr>
            <w:tcW w:type="dxa" w:w="7087"/>
          </w:tcPr>
          <w:p>
            <w:pPr>
              <w:jc w:val="left"/>
            </w:pPr>
            <w:r/>
            <w:r>
              <w:rPr>
                <w:sz w:val="20"/>
              </w:rPr>
              <w:t>«Гидрографическая схема» заменена на «Речная система» (р. Адамка → р. Умяк → р. Вятка → р. Кама → р. Волга).</w:t>
            </w:r>
          </w:p>
        </w:tc>
      </w:tr>
      <w:tr>
        <w:trPr>
          <w:cantSplit w:val="true"/>
        </w:trPr>
        <w:tc>
          <w:tcPr>
            <w:tcW w:type="dxa" w:w="567"/>
          </w:tcPr>
          <w:p>
            <w:pPr>
              <w:jc w:val="center"/>
            </w:pPr>
            <w:r/>
            <w:r>
              <w:rPr>
                <w:sz w:val="20"/>
              </w:rPr>
              <w:t>6</w:t>
            </w:r>
          </w:p>
        </w:tc>
        <w:tc>
          <w:tcPr>
            <w:tcW w:type="dxa" w:w="907"/>
          </w:tcPr>
          <w:p>
            <w:pPr>
              <w:jc w:val="center"/>
            </w:pPr>
            <w:r/>
            <w:r>
              <w:rPr>
                <w:sz w:val="20"/>
              </w:rPr>
              <w:t>53</w:t>
            </w:r>
          </w:p>
        </w:tc>
        <w:tc>
          <w:tcPr>
            <w:tcW w:type="dxa" w:w="1928"/>
          </w:tcPr>
          <w:p>
            <w:pPr>
              <w:jc w:val="left"/>
            </w:pPr>
            <w:r/>
            <w:r>
              <w:rPr>
                <w:sz w:val="20"/>
              </w:rPr>
              <w:t>п. 8.2, п. 9.4</w:t>
            </w:r>
          </w:p>
        </w:tc>
        <w:tc>
          <w:tcPr>
            <w:tcW w:type="dxa" w:w="4649"/>
          </w:tcPr>
          <w:p>
            <w:pPr>
              <w:jc w:val="left"/>
            </w:pPr>
            <w:r/>
            <w:r>
              <w:rPr>
                <w:sz w:val="20"/>
              </w:rPr>
              <w:t>Что имеется в виду под «частной» водосборной площадью?</w:t>
            </w:r>
          </w:p>
        </w:tc>
        <w:tc>
          <w:tcPr>
            <w:tcW w:type="dxa" w:w="7087"/>
          </w:tcPr>
          <w:p>
            <w:pPr>
              <w:jc w:val="left"/>
            </w:pPr>
            <w:r/>
            <w:r>
              <w:rPr>
                <w:sz w:val="20"/>
              </w:rPr>
              <w:t>Термин «частная водосборная площадь» исключён: указана площадь водосбора р. Адамка в створе ГТС – 144 км² (общая площадь водосбора реки – 345 км²).</w:t>
            </w:r>
          </w:p>
        </w:tc>
      </w:tr>
      <w:tr>
        <w:trPr>
          <w:cantSplit w:val="true"/>
        </w:trPr>
        <w:tc>
          <w:tcPr>
            <w:tcW w:type="dxa" w:w="567"/>
          </w:tcPr>
          <w:p>
            <w:pPr>
              <w:jc w:val="center"/>
            </w:pPr>
            <w:r/>
            <w:r>
              <w:rPr>
                <w:sz w:val="20"/>
              </w:rPr>
              <w:t>7</w:t>
            </w:r>
          </w:p>
        </w:tc>
        <w:tc>
          <w:tcPr>
            <w:tcW w:type="dxa" w:w="907"/>
          </w:tcPr>
          <w:p>
            <w:pPr>
              <w:jc w:val="center"/>
            </w:pPr>
            <w:r/>
            <w:r>
              <w:rPr>
                <w:sz w:val="20"/>
              </w:rPr>
              <w:t>59</w:t>
            </w:r>
          </w:p>
        </w:tc>
        <w:tc>
          <w:tcPr>
            <w:tcW w:type="dxa" w:w="1928"/>
          </w:tcPr>
          <w:p>
            <w:pPr>
              <w:jc w:val="left"/>
            </w:pPr>
            <w:r/>
            <w:r>
              <w:rPr>
                <w:sz w:val="20"/>
              </w:rPr>
              <w:t>п. 8.4</w:t>
            </w:r>
          </w:p>
        </w:tc>
        <w:tc>
          <w:tcPr>
            <w:tcW w:type="dxa" w:w="4649"/>
          </w:tcPr>
          <w:p>
            <w:pPr>
              <w:jc w:val="left"/>
            </w:pPr>
            <w:r/>
            <w:r>
              <w:rPr>
                <w:sz w:val="20"/>
              </w:rPr>
              <w:t>Как получены эти данные? Почему сделан пересчет от проектных значений? Эти сведения только больше все запутывают. Оставьте проектные значения</w:t>
            </w:r>
          </w:p>
        </w:tc>
        <w:tc>
          <w:tcPr>
            <w:tcW w:type="dxa" w:w="7087"/>
          </w:tcPr>
          <w:p>
            <w:pPr>
              <w:jc w:val="left"/>
            </w:pPr>
            <w:r/>
            <w:r>
              <w:rPr>
                <w:sz w:val="20"/>
              </w:rPr>
              <w:t>Расчётные (пересчитанные) максимальные расходы исключены; оставлены проектные значения пропускной способности и расчётный максимальный уровень воды (ФПУ 94,33 м БС).</w:t>
            </w:r>
          </w:p>
        </w:tc>
      </w:tr>
      <w:tr>
        <w:trPr>
          <w:cantSplit w:val="true"/>
        </w:trPr>
        <w:tc>
          <w:tcPr>
            <w:tcW w:type="dxa" w:w="567"/>
          </w:tcPr>
          <w:p>
            <w:pPr>
              <w:jc w:val="center"/>
            </w:pPr>
            <w:r/>
            <w:r>
              <w:rPr>
                <w:sz w:val="20"/>
              </w:rPr>
              <w:t>8</w:t>
            </w:r>
          </w:p>
        </w:tc>
        <w:tc>
          <w:tcPr>
            <w:tcW w:type="dxa" w:w="907"/>
          </w:tcPr>
          <w:p>
            <w:pPr>
              <w:jc w:val="center"/>
            </w:pPr>
            <w:r/>
            <w:r>
              <w:rPr>
                <w:sz w:val="20"/>
              </w:rPr>
              <w:t>63</w:t>
            </w:r>
          </w:p>
        </w:tc>
        <w:tc>
          <w:tcPr>
            <w:tcW w:type="dxa" w:w="1928"/>
          </w:tcPr>
          <w:p>
            <w:pPr>
              <w:jc w:val="left"/>
            </w:pPr>
            <w:r/>
            <w:r>
              <w:rPr>
                <w:sz w:val="20"/>
              </w:rPr>
              <w:t>п. 8.5</w:t>
            </w:r>
          </w:p>
        </w:tc>
        <w:tc>
          <w:tcPr>
            <w:tcW w:type="dxa" w:w="4649"/>
          </w:tcPr>
          <w:p>
            <w:pPr>
              <w:jc w:val="left"/>
            </w:pPr>
            <w:r/>
            <w:r>
              <w:rPr>
                <w:sz w:val="20"/>
              </w:rPr>
              <w:t>78,2+37 +0,5 = 115,7. В расчетном донный водовыпуск не учтен. Оставьте только проектные значения</w:t>
            </w:r>
          </w:p>
        </w:tc>
        <w:tc>
          <w:tcPr>
            <w:tcW w:type="dxa" w:w="7087"/>
          </w:tcPr>
          <w:p>
            <w:pPr>
              <w:jc w:val="left"/>
            </w:pPr>
            <w:r/>
            <w:r>
              <w:rPr>
                <w:sz w:val="20"/>
              </w:rPr>
              <w:t>Суммарный сбросной расход приведён по проектным значениям: 115,7 м³/с = 78,2 (головной водосброс) + 37,0 (аварийный водосброс) + 0,5 (донный водовыпуск); расчётное значение исключено.</w:t>
            </w:r>
          </w:p>
        </w:tc>
      </w:tr>
      <w:tr>
        <w:trPr>
          <w:cantSplit w:val="true"/>
        </w:trPr>
        <w:tc>
          <w:tcPr>
            <w:tcW w:type="dxa" w:w="567"/>
          </w:tcPr>
          <w:p>
            <w:pPr>
              <w:jc w:val="center"/>
            </w:pPr>
            <w:r/>
            <w:r>
              <w:rPr>
                <w:sz w:val="20"/>
              </w:rPr>
              <w:t>9</w:t>
            </w:r>
          </w:p>
        </w:tc>
        <w:tc>
          <w:tcPr>
            <w:tcW w:type="dxa" w:w="907"/>
          </w:tcPr>
          <w:p>
            <w:pPr>
              <w:jc w:val="center"/>
            </w:pPr>
            <w:r/>
            <w:r>
              <w:rPr>
                <w:sz w:val="20"/>
              </w:rPr>
              <w:t>66</w:t>
            </w:r>
          </w:p>
        </w:tc>
        <w:tc>
          <w:tcPr>
            <w:tcW w:type="dxa" w:w="1928"/>
          </w:tcPr>
          <w:p>
            <w:pPr>
              <w:jc w:val="left"/>
            </w:pPr>
            <w:r/>
            <w:r>
              <w:rPr>
                <w:sz w:val="20"/>
              </w:rPr>
              <w:t>п. 8.6</w:t>
            </w:r>
          </w:p>
        </w:tc>
        <w:tc>
          <w:tcPr>
            <w:tcW w:type="dxa" w:w="4649"/>
          </w:tcPr>
          <w:p>
            <w:pPr>
              <w:jc w:val="left"/>
            </w:pPr>
            <w:r/>
            <w:r>
              <w:rPr>
                <w:sz w:val="20"/>
              </w:rPr>
              <w:t>Не стоит указывать расчетные значения обеспеченностей. Лучше вообще никакие цифры не указывать</w:t>
            </w:r>
          </w:p>
        </w:tc>
        <w:tc>
          <w:tcPr>
            <w:tcW w:type="dxa" w:w="7087"/>
          </w:tcPr>
          <w:p>
            <w:pPr>
              <w:jc w:val="left"/>
            </w:pPr>
            <w:r/>
            <w:r>
              <w:rPr>
                <w:sz w:val="20"/>
              </w:rPr>
              <w:t>Расчётные значения обеспеченностей и расходов исключены; цифры не приводятся.</w:t>
            </w:r>
          </w:p>
        </w:tc>
      </w:tr>
      <w:tr>
        <w:trPr>
          <w:cantSplit w:val="true"/>
        </w:trPr>
        <w:tc>
          <w:tcPr>
            <w:tcW w:type="dxa" w:w="567"/>
          </w:tcPr>
          <w:p>
            <w:pPr>
              <w:jc w:val="center"/>
            </w:pPr>
            <w:r/>
            <w:r>
              <w:rPr>
                <w:sz w:val="20"/>
              </w:rPr>
              <w:t>10</w:t>
            </w:r>
          </w:p>
        </w:tc>
        <w:tc>
          <w:tcPr>
            <w:tcW w:type="dxa" w:w="907"/>
          </w:tcPr>
          <w:p>
            <w:pPr>
              <w:jc w:val="center"/>
            </w:pPr>
            <w:r/>
            <w:r>
              <w:rPr>
                <w:sz w:val="20"/>
              </w:rPr>
              <w:t>77</w:t>
            </w:r>
          </w:p>
        </w:tc>
        <w:tc>
          <w:tcPr>
            <w:tcW w:type="dxa" w:w="1928"/>
          </w:tcPr>
          <w:p>
            <w:pPr>
              <w:jc w:val="left"/>
            </w:pPr>
            <w:r/>
            <w:r>
              <w:rPr>
                <w:sz w:val="20"/>
              </w:rPr>
              <w:t>п. 8.9, п. 3</w:t>
            </w:r>
          </w:p>
        </w:tc>
        <w:tc>
          <w:tcPr>
            <w:tcW w:type="dxa" w:w="4649"/>
          </w:tcPr>
          <w:p>
            <w:pPr>
              <w:jc w:val="left"/>
            </w:pPr>
            <w:r/>
            <w:r>
              <w:rPr>
                <w:sz w:val="20"/>
              </w:rPr>
              <w:t>Не надо добавлять дополнительную нумерацию, которой нет в нормативной форме декларации</w:t>
            </w:r>
          </w:p>
        </w:tc>
        <w:tc>
          <w:tcPr>
            <w:tcW w:type="dxa" w:w="7087"/>
          </w:tcPr>
          <w:p>
            <w:pPr>
              <w:jc w:val="left"/>
            </w:pPr>
            <w:r/>
            <w:r>
              <w:rPr>
                <w:sz w:val="20"/>
              </w:rPr>
              <w:t>Дополнительная нумерация (8.9.1–8.9.6, 3.3), отсутствующая в форме декларации, исключена.</w:t>
            </w:r>
          </w:p>
        </w:tc>
      </w:tr>
      <w:tr>
        <w:trPr>
          <w:cantSplit w:val="true"/>
        </w:trPr>
        <w:tc>
          <w:tcPr>
            <w:tcW w:type="dxa" w:w="567"/>
          </w:tcPr>
          <w:p>
            <w:pPr>
              <w:jc w:val="center"/>
            </w:pPr>
            <w:r/>
            <w:r>
              <w:rPr>
                <w:sz w:val="20"/>
              </w:rPr>
              <w:t>11</w:t>
            </w:r>
          </w:p>
        </w:tc>
        <w:tc>
          <w:tcPr>
            <w:tcW w:type="dxa" w:w="907"/>
          </w:tcPr>
          <w:p>
            <w:pPr>
              <w:jc w:val="center"/>
            </w:pPr>
            <w:r/>
            <w:r>
              <w:rPr>
                <w:sz w:val="20"/>
              </w:rPr>
              <w:t>97</w:t>
            </w:r>
          </w:p>
        </w:tc>
        <w:tc>
          <w:tcPr>
            <w:tcW w:type="dxa" w:w="1928"/>
          </w:tcPr>
          <w:p>
            <w:pPr>
              <w:jc w:val="left"/>
            </w:pPr>
            <w:r/>
            <w:r>
              <w:rPr>
                <w:sz w:val="20"/>
              </w:rPr>
              <w:t>п. 9.1</w:t>
            </w:r>
          </w:p>
        </w:tc>
        <w:tc>
          <w:tcPr>
            <w:tcW w:type="dxa" w:w="4649"/>
          </w:tcPr>
          <w:p>
            <w:pPr>
              <w:jc w:val="left"/>
            </w:pPr>
            <w:r/>
            <w:r>
              <w:rPr>
                <w:sz w:val="20"/>
              </w:rPr>
              <w:t>Эти сведения здесь не нужны</w:t>
            </w:r>
          </w:p>
        </w:tc>
        <w:tc>
          <w:tcPr>
            <w:tcW w:type="dxa" w:w="7087"/>
          </w:tcPr>
          <w:p>
            <w:pPr>
              <w:jc w:val="left"/>
            </w:pPr>
            <w:r/>
            <w:r>
              <w:rPr>
                <w:sz w:val="20"/>
              </w:rPr>
              <w:t>Исключены сведения, не относящиеся к п. 9.1 (класс опасности отходов, уровень безопасности ГТС, реквизиты действующей декларации).</w:t>
            </w:r>
          </w:p>
        </w:tc>
      </w:tr>
      <w:tr>
        <w:trPr>
          <w:cantSplit w:val="true"/>
        </w:trPr>
        <w:tc>
          <w:tcPr>
            <w:tcW w:type="dxa" w:w="567"/>
          </w:tcPr>
          <w:p>
            <w:pPr>
              <w:jc w:val="center"/>
            </w:pPr>
            <w:r/>
            <w:r>
              <w:rPr>
                <w:sz w:val="20"/>
              </w:rPr>
              <w:t>12</w:t>
            </w:r>
          </w:p>
        </w:tc>
        <w:tc>
          <w:tcPr>
            <w:tcW w:type="dxa" w:w="907"/>
          </w:tcPr>
          <w:p>
            <w:pPr>
              <w:jc w:val="center"/>
            </w:pPr>
            <w:r/>
            <w:r>
              <w:rPr>
                <w:sz w:val="20"/>
              </w:rPr>
              <w:t>115</w:t>
            </w:r>
          </w:p>
        </w:tc>
        <w:tc>
          <w:tcPr>
            <w:tcW w:type="dxa" w:w="1928"/>
          </w:tcPr>
          <w:p>
            <w:pPr>
              <w:jc w:val="left"/>
            </w:pPr>
            <w:r/>
            <w:r>
              <w:rPr>
                <w:sz w:val="20"/>
              </w:rPr>
              <w:t>п. 10.1</w:t>
            </w:r>
          </w:p>
        </w:tc>
        <w:tc>
          <w:tcPr>
            <w:tcW w:type="dxa" w:w="4649"/>
          </w:tcPr>
          <w:p>
            <w:pPr>
              <w:jc w:val="left"/>
            </w:pPr>
            <w:r/>
            <w:r>
              <w:rPr>
                <w:sz w:val="20"/>
              </w:rPr>
              <w:t>Как именно? Судя по тексту сверху, не обеспечивается</w:t>
            </w:r>
          </w:p>
        </w:tc>
        <w:tc>
          <w:tcPr>
            <w:tcW w:type="dxa" w:w="7087"/>
          </w:tcPr>
          <w:p>
            <w:pPr>
              <w:jc w:val="left"/>
            </w:pPr>
            <w:r/>
            <w:r>
              <w:rPr>
                <w:sz w:val="20"/>
              </w:rPr>
              <w:t>Исправлено: защита от несанкционированного вмешательства не обеспечивается (свободный доступ, отсутствие охраны, механизмы приводов не защищены – п. 6.29 СП 58.13330.2019); мероприятие включено в раздел 17.</w:t>
            </w:r>
          </w:p>
        </w:tc>
      </w:tr>
      <w:tr>
        <w:trPr>
          <w:cantSplit w:val="true"/>
        </w:trPr>
        <w:tc>
          <w:tcPr>
            <w:tcW w:type="dxa" w:w="567"/>
          </w:tcPr>
          <w:p>
            <w:pPr>
              <w:jc w:val="center"/>
            </w:pPr>
            <w:r/>
            <w:r>
              <w:rPr>
                <w:sz w:val="20"/>
              </w:rPr>
              <w:t>13</w:t>
            </w:r>
          </w:p>
        </w:tc>
        <w:tc>
          <w:tcPr>
            <w:tcW w:type="dxa" w:w="907"/>
          </w:tcPr>
          <w:p>
            <w:pPr>
              <w:jc w:val="center"/>
            </w:pPr>
            <w:r/>
            <w:r>
              <w:rPr>
                <w:sz w:val="20"/>
              </w:rPr>
              <w:t>119</w:t>
            </w:r>
          </w:p>
        </w:tc>
        <w:tc>
          <w:tcPr>
            <w:tcW w:type="dxa" w:w="1928"/>
          </w:tcPr>
          <w:p>
            <w:pPr>
              <w:jc w:val="left"/>
            </w:pPr>
            <w:r/>
            <w:r>
              <w:rPr>
                <w:sz w:val="20"/>
              </w:rPr>
              <w:t>п. 10.3, таблица 6</w:t>
            </w:r>
          </w:p>
        </w:tc>
        <w:tc>
          <w:tcPr>
            <w:tcW w:type="dxa" w:w="4649"/>
          </w:tcPr>
          <w:p>
            <w:pPr>
              <w:jc w:val="left"/>
            </w:pPr>
            <w:r/>
            <w:r>
              <w:rPr>
                <w:sz w:val="20"/>
              </w:rPr>
              <w:t>Разделить предписания выданные при прошлом преддекларационном обследовании и в самой декларации 2022 года</w:t>
            </w:r>
          </w:p>
        </w:tc>
        <w:tc>
          <w:tcPr>
            <w:tcW w:type="dxa" w:w="7087"/>
          </w:tcPr>
          <w:p>
            <w:pPr>
              <w:jc w:val="left"/>
            </w:pPr>
            <w:r/>
            <w:r>
              <w:rPr>
                <w:sz w:val="20"/>
              </w:rPr>
              <w:t>Таблица разделена на две части: А – мероприятия, предписанные декларацией 2022 г.; Б – мероприятия по результатам преддекларационного обследования 24.05.2022; по каждому указаны срок и отметка о выполнении. Отметка по п. 6.5 приведена в соответствие с остальным текстом (не выполнено, повторно предписано актом ПДО 2026 г.).</w:t>
            </w:r>
          </w:p>
        </w:tc>
      </w:tr>
      <w:tr>
        <w:trPr>
          <w:cantSplit w:val="true"/>
        </w:trPr>
        <w:tc>
          <w:tcPr>
            <w:tcW w:type="dxa" w:w="567"/>
          </w:tcPr>
          <w:p>
            <w:pPr>
              <w:jc w:val="center"/>
            </w:pPr>
            <w:r/>
            <w:r>
              <w:rPr>
                <w:sz w:val="20"/>
              </w:rPr>
              <w:t>14</w:t>
            </w:r>
          </w:p>
        </w:tc>
        <w:tc>
          <w:tcPr>
            <w:tcW w:type="dxa" w:w="907"/>
          </w:tcPr>
          <w:p>
            <w:pPr>
              <w:jc w:val="center"/>
            </w:pPr>
            <w:r/>
            <w:r>
              <w:rPr>
                <w:sz w:val="20"/>
              </w:rPr>
              <w:t>120</w:t>
            </w:r>
          </w:p>
        </w:tc>
        <w:tc>
          <w:tcPr>
            <w:tcW w:type="dxa" w:w="1928"/>
          </w:tcPr>
          <w:p>
            <w:pPr>
              <w:jc w:val="left"/>
            </w:pPr>
            <w:r/>
            <w:r>
              <w:rPr>
                <w:sz w:val="20"/>
              </w:rPr>
              <w:t>п. 10.3</w:t>
            </w:r>
          </w:p>
        </w:tc>
        <w:tc>
          <w:tcPr>
            <w:tcW w:type="dxa" w:w="4649"/>
          </w:tcPr>
          <w:p>
            <w:pPr>
              <w:jc w:val="left"/>
            </w:pPr>
            <w:r/>
            <w:r>
              <w:rPr>
                <w:sz w:val="20"/>
              </w:rPr>
              <w:t>Предписания от РТН или МЧС в междекларационный период выдавались?</w:t>
            </w:r>
          </w:p>
        </w:tc>
        <w:tc>
          <w:tcPr>
            <w:tcW w:type="dxa" w:w="7087"/>
          </w:tcPr>
          <w:p>
            <w:pPr>
              <w:jc w:val="left"/>
            </w:pPr>
            <w:r/>
            <w:r>
              <w:rPr>
                <w:sz w:val="20"/>
              </w:rPr>
              <w:t>Добавлены сведения о предписаниях Западно-Уральского управления Ростехнадзора и ГУ МЧС России по УР за междекларационный период (не выдавались); те же сведения приведены в п. 10.5 (подпункт 33.20 ФНП).</w:t>
            </w:r>
          </w:p>
        </w:tc>
      </w:tr>
      <w:tr>
        <w:trPr>
          <w:cantSplit w:val="true"/>
        </w:trPr>
        <w:tc>
          <w:tcPr>
            <w:tcW w:type="dxa" w:w="567"/>
          </w:tcPr>
          <w:p>
            <w:pPr>
              <w:jc w:val="center"/>
            </w:pPr>
            <w:r/>
            <w:r>
              <w:rPr>
                <w:sz w:val="20"/>
              </w:rPr>
              <w:t>15</w:t>
            </w:r>
          </w:p>
        </w:tc>
        <w:tc>
          <w:tcPr>
            <w:tcW w:type="dxa" w:w="907"/>
          </w:tcPr>
          <w:p>
            <w:pPr>
              <w:jc w:val="center"/>
            </w:pPr>
            <w:r/>
            <w:r>
              <w:rPr>
                <w:sz w:val="20"/>
              </w:rPr>
              <w:t>121</w:t>
            </w:r>
          </w:p>
        </w:tc>
        <w:tc>
          <w:tcPr>
            <w:tcW w:type="dxa" w:w="1928"/>
          </w:tcPr>
          <w:p>
            <w:pPr>
              <w:jc w:val="left"/>
            </w:pPr>
            <w:r/>
            <w:r>
              <w:rPr>
                <w:sz w:val="20"/>
              </w:rPr>
              <w:t>п. 10.3, таблица 6</w:t>
            </w:r>
          </w:p>
        </w:tc>
        <w:tc>
          <w:tcPr>
            <w:tcW w:type="dxa" w:w="4649"/>
          </w:tcPr>
          <w:p>
            <w:pPr>
              <w:jc w:val="left"/>
            </w:pPr>
            <w:r/>
            <w:r>
              <w:rPr>
                <w:sz w:val="20"/>
              </w:rPr>
              <w:t>Задвоены предписания</w:t>
            </w:r>
          </w:p>
        </w:tc>
        <w:tc>
          <w:tcPr>
            <w:tcW w:type="dxa" w:w="7087"/>
          </w:tcPr>
          <w:p>
            <w:pPr>
              <w:jc w:val="left"/>
            </w:pPr>
            <w:r/>
            <w:r>
              <w:rPr>
                <w:sz w:val="20"/>
              </w:rPr>
              <w:t>Задвоенные мероприятия (6.4 «Получить разрешение на эксплуатацию» = п. 3 части А; 6.6 «Разработать и согласовать правила эксплуатации» = п. 4 части А) исключены из части Б с примечанием; в сведениях для регистра (п. 15) номер № 0011-11-ВОД пояснён как номер разрешения на эксплуатацию, выданного 20.12.2022.</w:t>
            </w:r>
          </w:p>
        </w:tc>
      </w:tr>
      <w:tr>
        <w:trPr>
          <w:cantSplit w:val="true"/>
        </w:trPr>
        <w:tc>
          <w:tcPr>
            <w:tcW w:type="dxa" w:w="567"/>
          </w:tcPr>
          <w:p>
            <w:pPr>
              <w:jc w:val="center"/>
            </w:pPr>
            <w:r/>
            <w:r>
              <w:rPr>
                <w:sz w:val="20"/>
              </w:rPr>
              <w:t>16</w:t>
            </w:r>
          </w:p>
        </w:tc>
        <w:tc>
          <w:tcPr>
            <w:tcW w:type="dxa" w:w="907"/>
          </w:tcPr>
          <w:p>
            <w:pPr>
              <w:jc w:val="center"/>
            </w:pPr>
            <w:r/>
            <w:r>
              <w:rPr>
                <w:sz w:val="20"/>
              </w:rPr>
              <w:t>124</w:t>
            </w:r>
          </w:p>
        </w:tc>
        <w:tc>
          <w:tcPr>
            <w:tcW w:type="dxa" w:w="1928"/>
          </w:tcPr>
          <w:p>
            <w:pPr>
              <w:jc w:val="left"/>
            </w:pPr>
            <w:r/>
            <w:r>
              <w:rPr>
                <w:sz w:val="20"/>
              </w:rPr>
              <w:t>п. 10.4</w:t>
            </w:r>
          </w:p>
        </w:tc>
        <w:tc>
          <w:tcPr>
            <w:tcW w:type="dxa" w:w="4649"/>
          </w:tcPr>
          <w:p>
            <w:pPr>
              <w:jc w:val="left"/>
            </w:pPr>
            <w:r/>
            <w:r>
              <w:rPr>
                <w:sz w:val="20"/>
              </w:rPr>
              <w:t>Не полностью соответствует таблице 10. Там больше дефектов, не все указаны здесь. Про отсутствие ледозащиты там не указано</w:t>
            </w:r>
          </w:p>
        </w:tc>
        <w:tc>
          <w:tcPr>
            <w:tcW w:type="dxa" w:w="7087"/>
          </w:tcPr>
          <w:p>
            <w:pPr>
              <w:jc w:val="left"/>
            </w:pPr>
            <w:r/>
            <w:r>
              <w:rPr>
                <w:sz w:val="20"/>
              </w:rPr>
              <w:t>Перечень дефектов приведён полностью по таблицам 9 и 10 акта ПДО с разделением на дефекты, значения которых превышают К1 (не превышают К2), и не превышающие К1; указание на отсутствие ледозащиты исключено; примечание о повторном ремонте ледозащиты, открылков и быка приведено в соответствие с актом (повторно предписан актом ПДО, таблица 7, пп. 11, 12).</w:t>
            </w:r>
          </w:p>
        </w:tc>
      </w:tr>
      <w:tr>
        <w:trPr>
          <w:cantSplit w:val="true"/>
        </w:trPr>
        <w:tc>
          <w:tcPr>
            <w:tcW w:type="dxa" w:w="567"/>
          </w:tcPr>
          <w:p>
            <w:pPr>
              <w:jc w:val="center"/>
            </w:pPr>
            <w:r/>
            <w:r>
              <w:rPr>
                <w:sz w:val="20"/>
              </w:rPr>
              <w:t>17</w:t>
            </w:r>
          </w:p>
        </w:tc>
        <w:tc>
          <w:tcPr>
            <w:tcW w:type="dxa" w:w="907"/>
          </w:tcPr>
          <w:p>
            <w:pPr>
              <w:jc w:val="center"/>
            </w:pPr>
            <w:r/>
            <w:r>
              <w:rPr>
                <w:sz w:val="20"/>
              </w:rPr>
              <w:t>125</w:t>
            </w:r>
          </w:p>
        </w:tc>
        <w:tc>
          <w:tcPr>
            <w:tcW w:type="dxa" w:w="1928"/>
          </w:tcPr>
          <w:p>
            <w:pPr>
              <w:jc w:val="left"/>
            </w:pPr>
            <w:r/>
            <w:r>
              <w:rPr>
                <w:sz w:val="20"/>
              </w:rPr>
              <w:t>п. 10.4</w:t>
            </w:r>
          </w:p>
        </w:tc>
        <w:tc>
          <w:tcPr>
            <w:tcW w:type="dxa" w:w="4649"/>
          </w:tcPr>
          <w:p>
            <w:pPr>
              <w:jc w:val="left"/>
            </w:pPr>
            <w:r/>
            <w:r>
              <w:rPr>
                <w:sz w:val="20"/>
              </w:rPr>
              <w:t>Таблица 7 п.6.8 указано, что проводились</w:t>
            </w:r>
          </w:p>
        </w:tc>
        <w:tc>
          <w:tcPr>
            <w:tcW w:type="dxa" w:w="7087"/>
          </w:tcPr>
          <w:p>
            <w:pPr>
              <w:jc w:val="left"/>
            </w:pPr>
            <w:r/>
            <w:r>
              <w:rPr>
                <w:sz w:val="20"/>
              </w:rPr>
              <w:t>Исправлено: тактико-специальные учения и тренировки проводились (таблица 6, п. 6.8 – 18.09.2025).</w:t>
            </w:r>
          </w:p>
        </w:tc>
      </w:tr>
      <w:tr>
        <w:trPr>
          <w:cantSplit w:val="true"/>
        </w:trPr>
        <w:tc>
          <w:tcPr>
            <w:tcW w:type="dxa" w:w="567"/>
          </w:tcPr>
          <w:p>
            <w:pPr>
              <w:jc w:val="center"/>
            </w:pPr>
            <w:r/>
            <w:r>
              <w:rPr>
                <w:sz w:val="20"/>
              </w:rPr>
              <w:t>18</w:t>
            </w:r>
          </w:p>
        </w:tc>
        <w:tc>
          <w:tcPr>
            <w:tcW w:type="dxa" w:w="907"/>
          </w:tcPr>
          <w:p>
            <w:pPr>
              <w:jc w:val="center"/>
            </w:pPr>
            <w:r/>
            <w:r>
              <w:rPr>
                <w:sz w:val="20"/>
              </w:rPr>
              <w:t>126</w:t>
            </w:r>
          </w:p>
        </w:tc>
        <w:tc>
          <w:tcPr>
            <w:tcW w:type="dxa" w:w="1928"/>
          </w:tcPr>
          <w:p>
            <w:pPr>
              <w:jc w:val="left"/>
            </w:pPr>
            <w:r/>
            <w:r>
              <w:rPr>
                <w:sz w:val="20"/>
              </w:rPr>
              <w:t>п. 10.4</w:t>
            </w:r>
          </w:p>
        </w:tc>
        <w:tc>
          <w:tcPr>
            <w:tcW w:type="dxa" w:w="4649"/>
          </w:tcPr>
          <w:p>
            <w:pPr>
              <w:jc w:val="left"/>
            </w:pPr>
            <w:r/>
            <w:r>
              <w:rPr>
                <w:sz w:val="20"/>
              </w:rPr>
              <w:t>В соответствии с таблицей 10 акта ПДО часть критериев превышает К1, а это в соответствии с 1892 неудовлетворительный уровень</w:t>
            </w:r>
          </w:p>
        </w:tc>
        <w:tc>
          <w:tcPr>
            <w:tcW w:type="dxa" w:w="7087"/>
          </w:tcPr>
          <w:p>
            <w:pPr>
              <w:jc w:val="left"/>
            </w:pPr>
            <w:r/>
            <w:r>
              <w:rPr>
                <w:sz w:val="20"/>
              </w:rPr>
              <w:t>Уровень безопасности по результатам обследования – неудовлетворительный (значения части диагностических показателей превышают К1 – постановление Правительства РФ № 1892).</w:t>
            </w:r>
          </w:p>
        </w:tc>
      </w:tr>
      <w:tr>
        <w:trPr>
          <w:cantSplit w:val="true"/>
        </w:trPr>
        <w:tc>
          <w:tcPr>
            <w:tcW w:type="dxa" w:w="567"/>
          </w:tcPr>
          <w:p>
            <w:pPr>
              <w:jc w:val="center"/>
            </w:pPr>
            <w:r/>
            <w:r>
              <w:rPr>
                <w:sz w:val="20"/>
              </w:rPr>
              <w:t>19</w:t>
            </w:r>
          </w:p>
        </w:tc>
        <w:tc>
          <w:tcPr>
            <w:tcW w:type="dxa" w:w="907"/>
          </w:tcPr>
          <w:p>
            <w:pPr>
              <w:jc w:val="center"/>
            </w:pPr>
            <w:r/>
            <w:r>
              <w:rPr>
                <w:sz w:val="20"/>
              </w:rPr>
              <w:t>129</w:t>
            </w:r>
          </w:p>
        </w:tc>
        <w:tc>
          <w:tcPr>
            <w:tcW w:type="dxa" w:w="1928"/>
          </w:tcPr>
          <w:p>
            <w:pPr>
              <w:jc w:val="left"/>
            </w:pPr>
            <w:r/>
            <w:r>
              <w:rPr>
                <w:sz w:val="20"/>
              </w:rPr>
              <w:t>п. 10.5</w:t>
            </w:r>
          </w:p>
        </w:tc>
        <w:tc>
          <w:tcPr>
            <w:tcW w:type="dxa" w:w="4649"/>
          </w:tcPr>
          <w:p>
            <w:pPr>
              <w:jc w:val="left"/>
            </w:pPr>
            <w:r/>
            <w:r>
              <w:rPr>
                <w:sz w:val="20"/>
              </w:rPr>
              <w:t>Приказ РТН от 8 мая 2024 года №151 п.33 перечень необходимой документации. В соответствии с этим пунктом добавьте, что еще есть</w:t>
            </w:r>
          </w:p>
        </w:tc>
        <w:tc>
          <w:tcPr>
            <w:tcW w:type="dxa" w:w="7087"/>
          </w:tcPr>
          <w:p>
            <w:pPr>
              <w:jc w:val="left"/>
            </w:pPr>
            <w:r/>
            <w:r>
              <w:rPr>
                <w:sz w:val="20"/>
              </w:rPr>
              <w:t>Перечень документации приведён по пункту 33 ФНП (приказ Ростехнадзора от 08.05.2024 № 151) с указанием наличия документов (подпункты 33.1, 33.2, 33.4, 33.5, 33.7, 33.8, 33.10, 33.12–33.17, 33.20, 33.21; документация по 33.9, 33.18, 33.19 не требуется); добавлена иная имеющаяся документация; ФНП включены в перечень нормативно-технической документации.</w:t>
            </w:r>
          </w:p>
        </w:tc>
      </w:tr>
      <w:tr>
        <w:trPr>
          <w:cantSplit w:val="true"/>
        </w:trPr>
        <w:tc>
          <w:tcPr>
            <w:tcW w:type="dxa" w:w="567"/>
          </w:tcPr>
          <w:p>
            <w:pPr>
              <w:jc w:val="center"/>
            </w:pPr>
            <w:r/>
            <w:r>
              <w:rPr>
                <w:sz w:val="20"/>
              </w:rPr>
              <w:t>20</w:t>
            </w:r>
          </w:p>
        </w:tc>
        <w:tc>
          <w:tcPr>
            <w:tcW w:type="dxa" w:w="907"/>
          </w:tcPr>
          <w:p>
            <w:pPr>
              <w:jc w:val="center"/>
            </w:pPr>
            <w:r/>
            <w:r>
              <w:rPr>
                <w:sz w:val="20"/>
              </w:rPr>
              <w:t>136</w:t>
            </w:r>
          </w:p>
        </w:tc>
        <w:tc>
          <w:tcPr>
            <w:tcW w:type="dxa" w:w="1928"/>
          </w:tcPr>
          <w:p>
            <w:pPr>
              <w:jc w:val="left"/>
            </w:pPr>
            <w:r/>
            <w:r>
              <w:rPr>
                <w:sz w:val="20"/>
              </w:rPr>
              <w:t>п. 11.1</w:t>
            </w:r>
          </w:p>
        </w:tc>
        <w:tc>
          <w:tcPr>
            <w:tcW w:type="dxa" w:w="4649"/>
          </w:tcPr>
          <w:p>
            <w:pPr>
              <w:jc w:val="left"/>
            </w:pPr>
            <w:r/>
            <w:r>
              <w:rPr>
                <w:sz w:val="20"/>
              </w:rPr>
              <w:t>В акте указано, что часть критериев превышает К1. В соответствии с приказом РТН от 08.05.2024 №151 п.114 это частично работоспособное состояние</w:t>
            </w:r>
          </w:p>
        </w:tc>
        <w:tc>
          <w:tcPr>
            <w:tcW w:type="dxa" w:w="7087"/>
          </w:tcPr>
          <w:p>
            <w:pPr>
              <w:jc w:val="left"/>
            </w:pPr>
            <w:r/>
            <w:r>
              <w:rPr>
                <w:sz w:val="20"/>
              </w:rPr>
              <w:t>Техническое состояние ГТС – частично работоспособное: значения части диагностических показателей превышают К1, но не превышают К2 (п. 115 ФНП; п. 114 ФНП относится к работоспособному состоянию).</w:t>
            </w:r>
          </w:p>
        </w:tc>
      </w:tr>
      <w:tr>
        <w:trPr>
          <w:cantSplit w:val="true"/>
        </w:trPr>
        <w:tc>
          <w:tcPr>
            <w:tcW w:type="dxa" w:w="567"/>
          </w:tcPr>
          <w:p>
            <w:pPr>
              <w:jc w:val="center"/>
            </w:pPr>
            <w:r/>
            <w:r>
              <w:rPr>
                <w:sz w:val="20"/>
              </w:rPr>
              <w:t>21</w:t>
            </w:r>
          </w:p>
        </w:tc>
        <w:tc>
          <w:tcPr>
            <w:tcW w:type="dxa" w:w="907"/>
          </w:tcPr>
          <w:p>
            <w:pPr>
              <w:jc w:val="center"/>
            </w:pPr>
            <w:r/>
            <w:r>
              <w:rPr>
                <w:sz w:val="20"/>
              </w:rPr>
              <w:t>146</w:t>
            </w:r>
          </w:p>
        </w:tc>
        <w:tc>
          <w:tcPr>
            <w:tcW w:type="dxa" w:w="1928"/>
          </w:tcPr>
          <w:p>
            <w:pPr>
              <w:jc w:val="left"/>
            </w:pPr>
            <w:r/>
            <w:r>
              <w:rPr>
                <w:sz w:val="20"/>
              </w:rPr>
              <w:t>п. 11.5, таблица 9</w:t>
            </w:r>
          </w:p>
        </w:tc>
        <w:tc>
          <w:tcPr>
            <w:tcW w:type="dxa" w:w="4649"/>
          </w:tcPr>
          <w:p>
            <w:pPr>
              <w:jc w:val="left"/>
            </w:pPr>
            <w:r/>
            <w:r>
              <w:rPr>
                <w:sz w:val="20"/>
              </w:rPr>
              <w:t>Диагностический показатель</w:t>
            </w:r>
          </w:p>
        </w:tc>
        <w:tc>
          <w:tcPr>
            <w:tcW w:type="dxa" w:w="7087"/>
          </w:tcPr>
          <w:p>
            <w:pPr>
              <w:jc w:val="left"/>
            </w:pPr>
            <w:r/>
            <w:r>
              <w:rPr>
                <w:sz w:val="20"/>
              </w:rPr>
              <w:t>«Контролируемые показатели» заменены на «Диагностический показатель».</w:t>
            </w:r>
          </w:p>
        </w:tc>
      </w:tr>
      <w:tr>
        <w:trPr>
          <w:cantSplit w:val="true"/>
        </w:trPr>
        <w:tc>
          <w:tcPr>
            <w:tcW w:type="dxa" w:w="567"/>
          </w:tcPr>
          <w:p>
            <w:pPr>
              <w:jc w:val="center"/>
            </w:pPr>
            <w:r/>
            <w:r>
              <w:rPr>
                <w:sz w:val="20"/>
              </w:rPr>
              <w:t>22</w:t>
            </w:r>
          </w:p>
        </w:tc>
        <w:tc>
          <w:tcPr>
            <w:tcW w:type="dxa" w:w="907"/>
          </w:tcPr>
          <w:p>
            <w:pPr>
              <w:jc w:val="center"/>
            </w:pPr>
            <w:r/>
            <w:r>
              <w:rPr>
                <w:sz w:val="20"/>
              </w:rPr>
              <w:t>147</w:t>
            </w:r>
          </w:p>
        </w:tc>
        <w:tc>
          <w:tcPr>
            <w:tcW w:type="dxa" w:w="1928"/>
          </w:tcPr>
          <w:p>
            <w:pPr>
              <w:jc w:val="left"/>
            </w:pPr>
            <w:r/>
            <w:r>
              <w:rPr>
                <w:sz w:val="20"/>
              </w:rPr>
              <w:t>п. 11.5, таблица 9</w:t>
            </w:r>
          </w:p>
        </w:tc>
        <w:tc>
          <w:tcPr>
            <w:tcW w:type="dxa" w:w="4649"/>
          </w:tcPr>
          <w:p>
            <w:pPr>
              <w:jc w:val="left"/>
            </w:pPr>
            <w:r/>
            <w:r>
              <w:rPr>
                <w:sz w:val="20"/>
              </w:rPr>
              <w:t>Между К1 и К2 должен быть интервал в показателях</w:t>
            </w:r>
          </w:p>
        </w:tc>
        <w:tc>
          <w:tcPr>
            <w:tcW w:type="dxa" w:w="7087"/>
          </w:tcPr>
          <w:p>
            <w:pPr>
              <w:jc w:val="left"/>
            </w:pPr>
            <w:r/>
            <w:r>
              <w:rPr>
                <w:sz w:val="20"/>
              </w:rPr>
              <w:t>Отметка гребня: К1 = 95,20 м БС, К2 = 94,70 м БС – между К1 и К2 предусмотрен интервал.</w:t>
            </w:r>
          </w:p>
        </w:tc>
      </w:tr>
      <w:tr>
        <w:trPr>
          <w:cantSplit w:val="true"/>
        </w:trPr>
        <w:tc>
          <w:tcPr>
            <w:tcW w:type="dxa" w:w="567"/>
          </w:tcPr>
          <w:p>
            <w:pPr>
              <w:jc w:val="center"/>
            </w:pPr>
            <w:r/>
            <w:r>
              <w:rPr>
                <w:sz w:val="20"/>
              </w:rPr>
              <w:t>23</w:t>
            </w:r>
          </w:p>
        </w:tc>
        <w:tc>
          <w:tcPr>
            <w:tcW w:type="dxa" w:w="907"/>
          </w:tcPr>
          <w:p>
            <w:pPr>
              <w:jc w:val="center"/>
            </w:pPr>
            <w:r/>
            <w:r>
              <w:rPr>
                <w:sz w:val="20"/>
              </w:rPr>
              <w:t>148</w:t>
            </w:r>
          </w:p>
        </w:tc>
        <w:tc>
          <w:tcPr>
            <w:tcW w:type="dxa" w:w="1928"/>
          </w:tcPr>
          <w:p>
            <w:pPr>
              <w:jc w:val="left"/>
            </w:pPr>
            <w:r/>
            <w:r>
              <w:rPr>
                <w:sz w:val="20"/>
              </w:rPr>
              <w:t>п. 11.5, таблица 9</w:t>
            </w:r>
          </w:p>
        </w:tc>
        <w:tc>
          <w:tcPr>
            <w:tcW w:type="dxa" w:w="4649"/>
          </w:tcPr>
          <w:p>
            <w:pPr>
              <w:jc w:val="left"/>
            </w:pPr>
            <w:r/>
            <w:r>
              <w:rPr>
                <w:sz w:val="20"/>
              </w:rPr>
              <w:t>Интервалы К1 и  К2 не должны пересекаться.</w:t>
            </w:r>
          </w:p>
        </w:tc>
        <w:tc>
          <w:tcPr>
            <w:tcW w:type="dxa" w:w="7087"/>
          </w:tcPr>
          <w:p>
            <w:pPr>
              <w:jc w:val="left"/>
            </w:pPr>
            <w:r/>
            <w:r>
              <w:rPr>
                <w:sz w:val="20"/>
              </w:rPr>
              <w:t>Ширина гребня: К1 = 8,50 м, К2 = 8,35 м – интервалы К1 и К2 не пересекаются.</w:t>
            </w:r>
          </w:p>
        </w:tc>
      </w:tr>
      <w:tr>
        <w:trPr>
          <w:cantSplit w:val="true"/>
        </w:trPr>
        <w:tc>
          <w:tcPr>
            <w:tcW w:type="dxa" w:w="567"/>
          </w:tcPr>
          <w:p>
            <w:pPr>
              <w:jc w:val="center"/>
            </w:pPr>
            <w:r/>
            <w:r>
              <w:rPr>
                <w:sz w:val="20"/>
              </w:rPr>
              <w:t>24</w:t>
            </w:r>
          </w:p>
        </w:tc>
        <w:tc>
          <w:tcPr>
            <w:tcW w:type="dxa" w:w="907"/>
          </w:tcPr>
          <w:p>
            <w:pPr>
              <w:jc w:val="center"/>
            </w:pPr>
            <w:r/>
            <w:r>
              <w:rPr>
                <w:sz w:val="20"/>
              </w:rPr>
              <w:t>149</w:t>
            </w:r>
          </w:p>
        </w:tc>
        <w:tc>
          <w:tcPr>
            <w:tcW w:type="dxa" w:w="1928"/>
          </w:tcPr>
          <w:p>
            <w:pPr>
              <w:jc w:val="left"/>
            </w:pPr>
            <w:r/>
            <w:r>
              <w:rPr>
                <w:sz w:val="20"/>
              </w:rPr>
              <w:t>п. 11.5, таблица 9</w:t>
            </w:r>
          </w:p>
        </w:tc>
        <w:tc>
          <w:tcPr>
            <w:tcW w:type="dxa" w:w="4649"/>
          </w:tcPr>
          <w:p>
            <w:pPr>
              <w:jc w:val="left"/>
            </w:pPr>
            <w:r/>
            <w:r>
              <w:rPr>
                <w:sz w:val="20"/>
              </w:rPr>
              <w:t>Добавить значения</w:t>
            </w:r>
          </w:p>
        </w:tc>
        <w:tc>
          <w:tcPr>
            <w:tcW w:type="dxa" w:w="7087"/>
          </w:tcPr>
          <w:p>
            <w:pPr>
              <w:jc w:val="left"/>
            </w:pPr>
            <w:r/>
            <w:r>
              <w:rPr>
                <w:sz w:val="20"/>
              </w:rPr>
              <w:t>Значения К1 и К2 заданы для всех количественных показателей (в т. ч. заложение откосов: К1 = 1:2,0; К2 = 1:1,5).</w:t>
            </w:r>
          </w:p>
        </w:tc>
      </w:tr>
      <w:tr>
        <w:trPr>
          <w:cantSplit w:val="true"/>
        </w:trPr>
        <w:tc>
          <w:tcPr>
            <w:tcW w:type="dxa" w:w="567"/>
          </w:tcPr>
          <w:p>
            <w:pPr>
              <w:jc w:val="center"/>
            </w:pPr>
            <w:r/>
            <w:r>
              <w:rPr>
                <w:sz w:val="20"/>
              </w:rPr>
              <w:t>25</w:t>
            </w:r>
          </w:p>
        </w:tc>
        <w:tc>
          <w:tcPr>
            <w:tcW w:type="dxa" w:w="907"/>
          </w:tcPr>
          <w:p>
            <w:pPr>
              <w:jc w:val="center"/>
            </w:pPr>
            <w:r/>
            <w:r>
              <w:rPr>
                <w:sz w:val="20"/>
              </w:rPr>
              <w:t>150</w:t>
            </w:r>
          </w:p>
        </w:tc>
        <w:tc>
          <w:tcPr>
            <w:tcW w:type="dxa" w:w="1928"/>
          </w:tcPr>
          <w:p>
            <w:pPr>
              <w:jc w:val="left"/>
            </w:pPr>
            <w:r/>
            <w:r>
              <w:rPr>
                <w:sz w:val="20"/>
              </w:rPr>
              <w:t>п. 11.5, таблица 9</w:t>
            </w:r>
          </w:p>
        </w:tc>
        <w:tc>
          <w:tcPr>
            <w:tcW w:type="dxa" w:w="4649"/>
          </w:tcPr>
          <w:p>
            <w:pPr>
              <w:jc w:val="left"/>
            </w:pPr>
            <w:r/>
            <w:r>
              <w:rPr>
                <w:sz w:val="20"/>
              </w:rPr>
              <w:t>Эксплуатирующая организация сможет посчитать этот коэффициент по фактическому состоянию ГТС? Если нет, то критерий стоит убрать</w:t>
            </w:r>
          </w:p>
        </w:tc>
        <w:tc>
          <w:tcPr>
            <w:tcW w:type="dxa" w:w="7087"/>
          </w:tcPr>
          <w:p>
            <w:pPr>
              <w:jc w:val="left"/>
            </w:pPr>
            <w:r/>
            <w:r>
              <w:rPr>
                <w:sz w:val="20"/>
              </w:rPr>
              <w:t>Коэффициент устойчивости откосов исключён – эксплуатирующая организация не может определить его по фактическому состоянию ГТС.</w:t>
            </w:r>
          </w:p>
        </w:tc>
      </w:tr>
      <w:tr>
        <w:trPr>
          <w:cantSplit w:val="true"/>
        </w:trPr>
        <w:tc>
          <w:tcPr>
            <w:tcW w:type="dxa" w:w="567"/>
          </w:tcPr>
          <w:p>
            <w:pPr>
              <w:jc w:val="center"/>
            </w:pPr>
            <w:r/>
            <w:r>
              <w:rPr>
                <w:sz w:val="20"/>
              </w:rPr>
              <w:t>26</w:t>
            </w:r>
          </w:p>
        </w:tc>
        <w:tc>
          <w:tcPr>
            <w:tcW w:type="dxa" w:w="907"/>
          </w:tcPr>
          <w:p>
            <w:pPr>
              <w:jc w:val="center"/>
            </w:pPr>
            <w:r/>
            <w:r>
              <w:rPr>
                <w:sz w:val="20"/>
              </w:rPr>
              <w:t>151</w:t>
            </w:r>
          </w:p>
        </w:tc>
        <w:tc>
          <w:tcPr>
            <w:tcW w:type="dxa" w:w="1928"/>
          </w:tcPr>
          <w:p>
            <w:pPr>
              <w:jc w:val="left"/>
            </w:pPr>
            <w:r/>
            <w:r>
              <w:rPr>
                <w:sz w:val="20"/>
              </w:rPr>
              <w:t>п. 11.5, таблица 9</w:t>
            </w:r>
          </w:p>
        </w:tc>
        <w:tc>
          <w:tcPr>
            <w:tcW w:type="dxa" w:w="4649"/>
          </w:tcPr>
          <w:p>
            <w:pPr>
              <w:jc w:val="left"/>
            </w:pPr>
            <w:r/>
            <w:r>
              <w:rPr>
                <w:sz w:val="20"/>
              </w:rPr>
              <w:t>Важный показатель – это минимальная высота плотины. От нее зависит будет ли перелив. Максимальная высота на функционирование ГТС не влияет</w:t>
            </w:r>
          </w:p>
        </w:tc>
        <w:tc>
          <w:tcPr>
            <w:tcW w:type="dxa" w:w="7087"/>
          </w:tcPr>
          <w:p>
            <w:pPr>
              <w:jc w:val="left"/>
            </w:pPr>
            <w:r/>
            <w:r>
              <w:rPr>
                <w:sz w:val="20"/>
              </w:rPr>
              <w:t>Максимальная высота заменена показателем «Минимальная высота плотины над расчётным уровнем воды (ФПУ)»: К1 = 0,87 м, К2 = 0,37 м.</w:t>
            </w:r>
          </w:p>
        </w:tc>
      </w:tr>
      <w:tr>
        <w:trPr>
          <w:cantSplit w:val="true"/>
        </w:trPr>
        <w:tc>
          <w:tcPr>
            <w:tcW w:type="dxa" w:w="567"/>
          </w:tcPr>
          <w:p>
            <w:pPr>
              <w:jc w:val="center"/>
            </w:pPr>
            <w:r/>
            <w:r>
              <w:rPr>
                <w:sz w:val="20"/>
              </w:rPr>
              <w:t>27</w:t>
            </w:r>
          </w:p>
        </w:tc>
        <w:tc>
          <w:tcPr>
            <w:tcW w:type="dxa" w:w="907"/>
          </w:tcPr>
          <w:p>
            <w:pPr>
              <w:jc w:val="center"/>
            </w:pPr>
            <w:r/>
            <w:r>
              <w:rPr>
                <w:sz w:val="20"/>
              </w:rPr>
              <w:t>152</w:t>
            </w:r>
          </w:p>
        </w:tc>
        <w:tc>
          <w:tcPr>
            <w:tcW w:type="dxa" w:w="1928"/>
          </w:tcPr>
          <w:p>
            <w:pPr>
              <w:jc w:val="left"/>
            </w:pPr>
            <w:r/>
            <w:r>
              <w:rPr>
                <w:sz w:val="20"/>
              </w:rPr>
              <w:t>п. 11.5, таблица 9</w:t>
            </w:r>
          </w:p>
        </w:tc>
        <w:tc>
          <w:tcPr>
            <w:tcW w:type="dxa" w:w="4649"/>
          </w:tcPr>
          <w:p>
            <w:pPr>
              <w:jc w:val="left"/>
            </w:pPr>
            <w:r/>
            <w:r>
              <w:rPr>
                <w:sz w:val="20"/>
              </w:rPr>
              <w:t>Добавить К2</w:t>
            </w:r>
          </w:p>
        </w:tc>
        <w:tc>
          <w:tcPr>
            <w:tcW w:type="dxa" w:w="7087"/>
          </w:tcPr>
          <w:p>
            <w:pPr>
              <w:jc w:val="left"/>
            </w:pPr>
            <w:r/>
            <w:r>
              <w:rPr>
                <w:sz w:val="20"/>
              </w:rPr>
              <w:t>Добавлены значения К2 по всем показателям.</w:t>
            </w:r>
          </w:p>
        </w:tc>
      </w:tr>
      <w:tr>
        <w:trPr>
          <w:cantSplit w:val="true"/>
        </w:trPr>
        <w:tc>
          <w:tcPr>
            <w:tcW w:type="dxa" w:w="567"/>
          </w:tcPr>
          <w:p>
            <w:pPr>
              <w:jc w:val="center"/>
            </w:pPr>
            <w:r/>
            <w:r>
              <w:rPr>
                <w:sz w:val="20"/>
              </w:rPr>
              <w:t>28</w:t>
            </w:r>
          </w:p>
        </w:tc>
        <w:tc>
          <w:tcPr>
            <w:tcW w:type="dxa" w:w="907"/>
          </w:tcPr>
          <w:p>
            <w:pPr>
              <w:jc w:val="center"/>
            </w:pPr>
            <w:r/>
            <w:r>
              <w:rPr>
                <w:sz w:val="20"/>
              </w:rPr>
              <w:t>153</w:t>
            </w:r>
          </w:p>
        </w:tc>
        <w:tc>
          <w:tcPr>
            <w:tcW w:type="dxa" w:w="1928"/>
          </w:tcPr>
          <w:p>
            <w:pPr>
              <w:jc w:val="left"/>
            </w:pPr>
            <w:r/>
            <w:r>
              <w:rPr>
                <w:sz w:val="20"/>
              </w:rPr>
              <w:t>п. 11.5, таблица 9</w:t>
            </w:r>
          </w:p>
        </w:tc>
        <w:tc>
          <w:tcPr>
            <w:tcW w:type="dxa" w:w="4649"/>
          </w:tcPr>
          <w:p>
            <w:pPr>
              <w:jc w:val="left"/>
            </w:pPr>
            <w:r/>
            <w:r>
              <w:rPr>
                <w:sz w:val="20"/>
              </w:rPr>
              <w:t>Эксплуатирующая организация сможет замерить этот показатель и определить половье какой обеспеченности сейчас проходит? Если нет, критерий необходимо убрать</w:t>
            </w:r>
          </w:p>
        </w:tc>
        <w:tc>
          <w:tcPr>
            <w:tcW w:type="dxa" w:w="7087"/>
          </w:tcPr>
          <w:p>
            <w:pPr>
              <w:jc w:val="left"/>
            </w:pPr>
            <w:r/>
            <w:r>
              <w:rPr>
                <w:sz w:val="20"/>
              </w:rPr>
              <w:t>Критерий по пропускной способности (расходу паводка заданной обеспеченности) исключён; введён измеряемый показатель – уровень воды в пруду (К1 – НПУ 93,83 м БС, К2 – ФПУ 94,33 м БС).</w:t>
            </w:r>
          </w:p>
        </w:tc>
      </w:tr>
      <w:tr>
        <w:trPr>
          <w:cantSplit w:val="true"/>
        </w:trPr>
        <w:tc>
          <w:tcPr>
            <w:tcW w:type="dxa" w:w="567"/>
          </w:tcPr>
          <w:p>
            <w:pPr>
              <w:jc w:val="center"/>
            </w:pPr>
            <w:r/>
            <w:r>
              <w:rPr>
                <w:sz w:val="20"/>
              </w:rPr>
              <w:t>29</w:t>
            </w:r>
          </w:p>
        </w:tc>
        <w:tc>
          <w:tcPr>
            <w:tcW w:type="dxa" w:w="907"/>
          </w:tcPr>
          <w:p>
            <w:pPr>
              <w:jc w:val="center"/>
            </w:pPr>
            <w:r/>
            <w:r>
              <w:rPr>
                <w:sz w:val="20"/>
              </w:rPr>
              <w:t>154</w:t>
            </w:r>
          </w:p>
        </w:tc>
        <w:tc>
          <w:tcPr>
            <w:tcW w:type="dxa" w:w="1928"/>
          </w:tcPr>
          <w:p>
            <w:pPr>
              <w:jc w:val="left"/>
            </w:pPr>
            <w:r/>
            <w:r>
              <w:rPr>
                <w:sz w:val="20"/>
              </w:rPr>
              <w:t>п. 11.5, таблица 9</w:t>
            </w:r>
          </w:p>
        </w:tc>
        <w:tc>
          <w:tcPr>
            <w:tcW w:type="dxa" w:w="4649"/>
          </w:tcPr>
          <w:p>
            <w:pPr>
              <w:jc w:val="left"/>
            </w:pPr>
            <w:r/>
            <w:r>
              <w:rPr>
                <w:sz w:val="20"/>
              </w:rPr>
              <w:t>Критерий безопасности не может называться «проектная отметка». Просто «Отметка дна…» Нужны два показателя К1 и К2.</w:t>
            </w:r>
          </w:p>
        </w:tc>
        <w:tc>
          <w:tcPr>
            <w:tcW w:type="dxa" w:w="7087"/>
          </w:tcPr>
          <w:p>
            <w:pPr>
              <w:jc w:val="left"/>
            </w:pPr>
            <w:r/>
            <w:r>
              <w:rPr>
                <w:sz w:val="20"/>
              </w:rPr>
              <w:t>«Проектная отметка дна приёмной части» заменена на «Отметка дна приёмной части»: К1 = 89,78 м БС, К2 = 89,73 м БС.</w:t>
            </w:r>
          </w:p>
        </w:tc>
      </w:tr>
      <w:tr>
        <w:trPr>
          <w:cantSplit w:val="true"/>
        </w:trPr>
        <w:tc>
          <w:tcPr>
            <w:tcW w:type="dxa" w:w="567"/>
          </w:tcPr>
          <w:p>
            <w:pPr>
              <w:jc w:val="center"/>
            </w:pPr>
            <w:r/>
            <w:r>
              <w:rPr>
                <w:sz w:val="20"/>
              </w:rPr>
              <w:t>30</w:t>
            </w:r>
          </w:p>
        </w:tc>
        <w:tc>
          <w:tcPr>
            <w:tcW w:type="dxa" w:w="907"/>
          </w:tcPr>
          <w:p>
            <w:pPr>
              <w:jc w:val="center"/>
            </w:pPr>
            <w:r/>
            <w:r>
              <w:rPr>
                <w:sz w:val="20"/>
              </w:rPr>
              <w:t>155</w:t>
            </w:r>
          </w:p>
        </w:tc>
        <w:tc>
          <w:tcPr>
            <w:tcW w:type="dxa" w:w="1928"/>
          </w:tcPr>
          <w:p>
            <w:pPr>
              <w:jc w:val="left"/>
            </w:pPr>
            <w:r/>
            <w:r>
              <w:rPr>
                <w:sz w:val="20"/>
              </w:rPr>
              <w:t>п. 11.5, таблица 9</w:t>
            </w:r>
          </w:p>
        </w:tc>
        <w:tc>
          <w:tcPr>
            <w:tcW w:type="dxa" w:w="4649"/>
          </w:tcPr>
          <w:p>
            <w:pPr>
              <w:jc w:val="left"/>
            </w:pPr>
            <w:r/>
            <w:r>
              <w:rPr>
                <w:sz w:val="20"/>
              </w:rPr>
              <w:t>Не надо так. Добавить критерий К2</w:t>
            </w:r>
          </w:p>
        </w:tc>
        <w:tc>
          <w:tcPr>
            <w:tcW w:type="dxa" w:w="7087"/>
          </w:tcPr>
          <w:p>
            <w:pPr>
              <w:jc w:val="left"/>
            </w:pPr>
            <w:r/>
            <w:r>
              <w:rPr>
                <w:sz w:val="20"/>
              </w:rPr>
              <w:t>Описание конструкции исключено; введён показатель «Отметка дна водопроводящих труб» с К1 = 88,53 м БС и К2 = 88,48 м БС.</w:t>
            </w:r>
          </w:p>
        </w:tc>
      </w:tr>
      <w:tr>
        <w:trPr>
          <w:cantSplit w:val="true"/>
        </w:trPr>
        <w:tc>
          <w:tcPr>
            <w:tcW w:type="dxa" w:w="567"/>
          </w:tcPr>
          <w:p>
            <w:pPr>
              <w:jc w:val="center"/>
            </w:pPr>
            <w:r/>
            <w:r>
              <w:rPr>
                <w:sz w:val="20"/>
              </w:rPr>
              <w:t>31</w:t>
            </w:r>
          </w:p>
        </w:tc>
        <w:tc>
          <w:tcPr>
            <w:tcW w:type="dxa" w:w="907"/>
          </w:tcPr>
          <w:p>
            <w:pPr>
              <w:jc w:val="center"/>
            </w:pPr>
            <w:r/>
            <w:r>
              <w:rPr>
                <w:sz w:val="20"/>
              </w:rPr>
              <w:t>156</w:t>
            </w:r>
          </w:p>
        </w:tc>
        <w:tc>
          <w:tcPr>
            <w:tcW w:type="dxa" w:w="1928"/>
          </w:tcPr>
          <w:p>
            <w:pPr>
              <w:jc w:val="left"/>
            </w:pPr>
            <w:r/>
            <w:r>
              <w:rPr>
                <w:sz w:val="20"/>
              </w:rPr>
              <w:t>п. 11.5, таблица 9</w:t>
            </w:r>
          </w:p>
        </w:tc>
        <w:tc>
          <w:tcPr>
            <w:tcW w:type="dxa" w:w="4649"/>
          </w:tcPr>
          <w:p>
            <w:pPr>
              <w:jc w:val="left"/>
            </w:pPr>
            <w:r/>
            <w:r>
              <w:rPr>
                <w:sz w:val="20"/>
              </w:rPr>
              <w:t>Не надо проектной отметки. Это не критерий. Просто отметка. Добавить К2</w:t>
            </w:r>
          </w:p>
        </w:tc>
        <w:tc>
          <w:tcPr>
            <w:tcW w:type="dxa" w:w="7087"/>
          </w:tcPr>
          <w:p>
            <w:pPr>
              <w:jc w:val="left"/>
            </w:pPr>
            <w:r/>
            <w:r>
              <w:rPr>
                <w:sz w:val="20"/>
              </w:rPr>
              <w:t>«Проектная отметка» заменена на «Отметка днища входного оголовка»: К1 = 89,95 м БС, К2 = 89,90 м БС.</w:t>
            </w:r>
          </w:p>
        </w:tc>
      </w:tr>
      <w:tr>
        <w:trPr>
          <w:cantSplit w:val="true"/>
        </w:trPr>
        <w:tc>
          <w:tcPr>
            <w:tcW w:type="dxa" w:w="567"/>
          </w:tcPr>
          <w:p>
            <w:pPr>
              <w:jc w:val="center"/>
            </w:pPr>
            <w:r/>
            <w:r>
              <w:rPr>
                <w:sz w:val="20"/>
              </w:rPr>
              <w:t>32</w:t>
            </w:r>
          </w:p>
        </w:tc>
        <w:tc>
          <w:tcPr>
            <w:tcW w:type="dxa" w:w="907"/>
          </w:tcPr>
          <w:p>
            <w:pPr>
              <w:jc w:val="center"/>
            </w:pPr>
            <w:r/>
            <w:r>
              <w:rPr>
                <w:sz w:val="20"/>
              </w:rPr>
              <w:t>157</w:t>
            </w:r>
          </w:p>
        </w:tc>
        <w:tc>
          <w:tcPr>
            <w:tcW w:type="dxa" w:w="1928"/>
          </w:tcPr>
          <w:p>
            <w:pPr>
              <w:jc w:val="left"/>
            </w:pPr>
            <w:r/>
            <w:r>
              <w:rPr>
                <w:sz w:val="20"/>
              </w:rPr>
              <w:t>п. 11.5, таблица 9</w:t>
            </w:r>
          </w:p>
        </w:tc>
        <w:tc>
          <w:tcPr>
            <w:tcW w:type="dxa" w:w="4649"/>
          </w:tcPr>
          <w:p>
            <w:pPr>
              <w:jc w:val="left"/>
            </w:pPr>
            <w:r/>
            <w:r>
              <w:rPr>
                <w:sz w:val="20"/>
              </w:rPr>
              <w:t>Проектная отметка не меняется со временем. Этот показатель не может быть критерием. Просто отметка. Добавьте К2</w:t>
            </w:r>
          </w:p>
        </w:tc>
        <w:tc>
          <w:tcPr>
            <w:tcW w:type="dxa" w:w="7087"/>
          </w:tcPr>
          <w:p>
            <w:pPr>
              <w:jc w:val="left"/>
            </w:pPr>
            <w:r/>
            <w:r>
              <w:rPr>
                <w:sz w:val="20"/>
              </w:rPr>
              <w:t>Введён показатель «Отметка днища водопроводящих труб» аварийного водосброса: К1 = 89,85 м БС, К2 = 89,80 м БС.</w:t>
            </w:r>
          </w:p>
        </w:tc>
      </w:tr>
      <w:tr>
        <w:trPr>
          <w:cantSplit w:val="true"/>
        </w:trPr>
        <w:tc>
          <w:tcPr>
            <w:tcW w:type="dxa" w:w="567"/>
          </w:tcPr>
          <w:p>
            <w:pPr>
              <w:jc w:val="center"/>
            </w:pPr>
            <w:r/>
            <w:r>
              <w:rPr>
                <w:sz w:val="20"/>
              </w:rPr>
              <w:t>33</w:t>
            </w:r>
          </w:p>
        </w:tc>
        <w:tc>
          <w:tcPr>
            <w:tcW w:type="dxa" w:w="907"/>
          </w:tcPr>
          <w:p>
            <w:pPr>
              <w:jc w:val="center"/>
            </w:pPr>
            <w:r/>
            <w:r>
              <w:rPr>
                <w:sz w:val="20"/>
              </w:rPr>
              <w:t>158</w:t>
            </w:r>
          </w:p>
        </w:tc>
        <w:tc>
          <w:tcPr>
            <w:tcW w:type="dxa" w:w="1928"/>
          </w:tcPr>
          <w:p>
            <w:pPr>
              <w:jc w:val="left"/>
            </w:pPr>
            <w:r/>
            <w:r>
              <w:rPr>
                <w:sz w:val="20"/>
              </w:rPr>
              <w:t>п. 11.5, таблица 10</w:t>
            </w:r>
          </w:p>
        </w:tc>
        <w:tc>
          <w:tcPr>
            <w:tcW w:type="dxa" w:w="4649"/>
          </w:tcPr>
          <w:p>
            <w:pPr>
              <w:jc w:val="left"/>
            </w:pPr>
            <w:r/>
            <w:r>
              <w:rPr>
                <w:sz w:val="20"/>
              </w:rPr>
              <w:t>Диагностические</w:t>
            </w:r>
          </w:p>
        </w:tc>
        <w:tc>
          <w:tcPr>
            <w:tcW w:type="dxa" w:w="7087"/>
          </w:tcPr>
          <w:p>
            <w:pPr>
              <w:jc w:val="left"/>
            </w:pPr>
            <w:r/>
            <w:r>
              <w:rPr>
                <w:sz w:val="20"/>
              </w:rPr>
              <w:t>«Контролируемые показатели» заменены на «Диагностический показатель».</w:t>
            </w:r>
          </w:p>
        </w:tc>
      </w:tr>
      <w:tr>
        <w:trPr>
          <w:cantSplit w:val="true"/>
        </w:trPr>
        <w:tc>
          <w:tcPr>
            <w:tcW w:type="dxa" w:w="567"/>
          </w:tcPr>
          <w:p>
            <w:pPr>
              <w:jc w:val="center"/>
            </w:pPr>
            <w:r/>
            <w:r>
              <w:rPr>
                <w:sz w:val="20"/>
              </w:rPr>
              <w:t>34</w:t>
            </w:r>
          </w:p>
        </w:tc>
        <w:tc>
          <w:tcPr>
            <w:tcW w:type="dxa" w:w="907"/>
          </w:tcPr>
          <w:p>
            <w:pPr>
              <w:jc w:val="center"/>
            </w:pPr>
            <w:r/>
            <w:r>
              <w:rPr>
                <w:sz w:val="20"/>
              </w:rPr>
              <w:t>159</w:t>
            </w:r>
          </w:p>
        </w:tc>
        <w:tc>
          <w:tcPr>
            <w:tcW w:type="dxa" w:w="1928"/>
          </w:tcPr>
          <w:p>
            <w:pPr>
              <w:jc w:val="left"/>
            </w:pPr>
            <w:r/>
            <w:r>
              <w:rPr>
                <w:sz w:val="20"/>
              </w:rPr>
              <w:t>п. 11.5, таблица 10</w:t>
            </w:r>
          </w:p>
        </w:tc>
        <w:tc>
          <w:tcPr>
            <w:tcW w:type="dxa" w:w="4649"/>
          </w:tcPr>
          <w:p>
            <w:pPr>
              <w:jc w:val="left"/>
            </w:pPr>
            <w:r/>
            <w:r>
              <w:rPr>
                <w:sz w:val="20"/>
              </w:rPr>
              <w:t>По этому показателю К1 и  К2 не заданы</w:t>
            </w:r>
          </w:p>
        </w:tc>
        <w:tc>
          <w:tcPr>
            <w:tcW w:type="dxa" w:w="7087"/>
          </w:tcPr>
          <w:p>
            <w:pPr>
              <w:jc w:val="left"/>
            </w:pPr>
            <w:r/>
            <w:r>
              <w:rPr>
                <w:sz w:val="20"/>
              </w:rPr>
              <w:t>Для показателя фильтрации через тело и основание плотины (сосредоточенные выходы, мутность профильтровавшейся воды) заданы К1 и К2; К1 учитывает локальные признаки фильтрации (увлажнение, пучение грунта до 0,5 м) без выноса грунта.</w:t>
            </w:r>
          </w:p>
        </w:tc>
      </w:tr>
      <w:tr>
        <w:trPr>
          <w:cantSplit w:val="true"/>
        </w:trPr>
        <w:tc>
          <w:tcPr>
            <w:tcW w:type="dxa" w:w="567"/>
          </w:tcPr>
          <w:p>
            <w:pPr>
              <w:jc w:val="center"/>
            </w:pPr>
            <w:r/>
            <w:r>
              <w:rPr>
                <w:sz w:val="20"/>
              </w:rPr>
              <w:t>35</w:t>
            </w:r>
          </w:p>
        </w:tc>
        <w:tc>
          <w:tcPr>
            <w:tcW w:type="dxa" w:w="907"/>
          </w:tcPr>
          <w:p>
            <w:pPr>
              <w:jc w:val="center"/>
            </w:pPr>
            <w:r/>
            <w:r>
              <w:rPr>
                <w:sz w:val="20"/>
              </w:rPr>
              <w:t>160</w:t>
            </w:r>
          </w:p>
        </w:tc>
        <w:tc>
          <w:tcPr>
            <w:tcW w:type="dxa" w:w="1928"/>
          </w:tcPr>
          <w:p>
            <w:pPr>
              <w:jc w:val="left"/>
            </w:pPr>
            <w:r/>
            <w:r>
              <w:rPr>
                <w:sz w:val="20"/>
              </w:rPr>
              <w:t>п. 11.5, таблица 10</w:t>
            </w:r>
          </w:p>
        </w:tc>
        <w:tc>
          <w:tcPr>
            <w:tcW w:type="dxa" w:w="4649"/>
          </w:tcPr>
          <w:p>
            <w:pPr>
              <w:jc w:val="left"/>
            </w:pPr>
            <w:r/>
            <w:r>
              <w:rPr>
                <w:sz w:val="20"/>
              </w:rPr>
              <w:t>При таком критерии невозможно превысить К2</w:t>
            </w:r>
          </w:p>
        </w:tc>
        <w:tc>
          <w:tcPr>
            <w:tcW w:type="dxa" w:w="7087"/>
          </w:tcPr>
          <w:p>
            <w:pPr>
              <w:jc w:val="left"/>
            </w:pPr>
            <w:r/>
            <w:r>
              <w:rPr>
                <w:sz w:val="20"/>
              </w:rPr>
              <w:t>Формулировки изменены так, что превышение К2 достижимо: глубина просадок – количественный показатель (К1 = 0,5 м, К2 = 1,0 м); К2 по оползням – значительные промоины, оползни с захватом гребня.</w:t>
            </w:r>
          </w:p>
        </w:tc>
      </w:tr>
      <w:tr>
        <w:trPr>
          <w:cantSplit w:val="true"/>
        </w:trPr>
        <w:tc>
          <w:tcPr>
            <w:tcW w:type="dxa" w:w="567"/>
          </w:tcPr>
          <w:p>
            <w:pPr>
              <w:jc w:val="center"/>
            </w:pPr>
            <w:r/>
            <w:r>
              <w:rPr>
                <w:sz w:val="20"/>
              </w:rPr>
              <w:t>36</w:t>
            </w:r>
          </w:p>
        </w:tc>
        <w:tc>
          <w:tcPr>
            <w:tcW w:type="dxa" w:w="907"/>
          </w:tcPr>
          <w:p>
            <w:pPr>
              <w:jc w:val="center"/>
            </w:pPr>
            <w:r/>
            <w:r>
              <w:rPr>
                <w:sz w:val="20"/>
              </w:rPr>
              <w:t>161</w:t>
            </w:r>
          </w:p>
        </w:tc>
        <w:tc>
          <w:tcPr>
            <w:tcW w:type="dxa" w:w="1928"/>
          </w:tcPr>
          <w:p>
            <w:pPr>
              <w:jc w:val="left"/>
            </w:pPr>
            <w:r/>
            <w:r>
              <w:rPr>
                <w:sz w:val="20"/>
              </w:rPr>
              <w:t>п. 11.5, таблица 10</w:t>
            </w:r>
          </w:p>
        </w:tc>
        <w:tc>
          <w:tcPr>
            <w:tcW w:type="dxa" w:w="4649"/>
          </w:tcPr>
          <w:p>
            <w:pPr>
              <w:jc w:val="left"/>
            </w:pPr>
            <w:r/>
            <w:r>
              <w:rPr>
                <w:sz w:val="20"/>
              </w:rPr>
              <w:t>Это не признаки фильтрации</w:t>
            </w:r>
          </w:p>
        </w:tc>
        <w:tc>
          <w:tcPr>
            <w:tcW w:type="dxa" w:w="7087"/>
          </w:tcPr>
          <w:p>
            <w:pPr>
              <w:jc w:val="left"/>
            </w:pPr>
            <w:r/>
            <w:r>
              <w:rPr>
                <w:sz w:val="20"/>
              </w:rPr>
              <w:t>Разрушение покрытия гребня выделено в отдельный показатель «Состояние покрытия проезжей части гребня» (не относится к признакам фильтрации); глубина трещин на гребне – количественный показатель 1.8 (К1 = 0, К2 = 0,5 м).</w:t>
            </w:r>
          </w:p>
        </w:tc>
      </w:tr>
      <w:tr>
        <w:trPr>
          <w:cantSplit w:val="true"/>
        </w:trPr>
        <w:tc>
          <w:tcPr>
            <w:tcW w:type="dxa" w:w="567"/>
          </w:tcPr>
          <w:p>
            <w:pPr>
              <w:jc w:val="center"/>
            </w:pPr>
            <w:r/>
            <w:r>
              <w:rPr>
                <w:sz w:val="20"/>
              </w:rPr>
              <w:t>37</w:t>
            </w:r>
          </w:p>
        </w:tc>
        <w:tc>
          <w:tcPr>
            <w:tcW w:type="dxa" w:w="907"/>
          </w:tcPr>
          <w:p>
            <w:pPr>
              <w:jc w:val="center"/>
            </w:pPr>
            <w:r/>
            <w:r>
              <w:rPr>
                <w:sz w:val="20"/>
              </w:rPr>
              <w:t>162</w:t>
            </w:r>
          </w:p>
        </w:tc>
        <w:tc>
          <w:tcPr>
            <w:tcW w:type="dxa" w:w="1928"/>
          </w:tcPr>
          <w:p>
            <w:pPr>
              <w:jc w:val="left"/>
            </w:pPr>
            <w:r/>
            <w:r>
              <w:rPr>
                <w:sz w:val="20"/>
              </w:rPr>
              <w:t>п. 11.5, таблица 9</w:t>
            </w:r>
          </w:p>
        </w:tc>
        <w:tc>
          <w:tcPr>
            <w:tcW w:type="dxa" w:w="4649"/>
          </w:tcPr>
          <w:p>
            <w:pPr>
              <w:jc w:val="left"/>
            </w:pPr>
            <w:r/>
            <w:r>
              <w:rPr>
                <w:sz w:val="20"/>
              </w:rPr>
              <w:t>Необходим интервал между К1 и К2. И это количественный критерий</w:t>
            </w:r>
          </w:p>
        </w:tc>
        <w:tc>
          <w:tcPr>
            <w:tcW w:type="dxa" w:w="7087"/>
          </w:tcPr>
          <w:p>
            <w:pPr>
              <w:jc w:val="left"/>
            </w:pPr>
            <w:r/>
            <w:r>
              <w:rPr>
                <w:sz w:val="20"/>
              </w:rPr>
              <w:t>Показатель коррозии бетона переведён в количественные: К1 = 20 %, К2 = 40 % площади поверхности (с интервалом).</w:t>
            </w:r>
          </w:p>
        </w:tc>
      </w:tr>
      <w:tr>
        <w:trPr>
          <w:cantSplit w:val="true"/>
        </w:trPr>
        <w:tc>
          <w:tcPr>
            <w:tcW w:type="dxa" w:w="567"/>
          </w:tcPr>
          <w:p>
            <w:pPr>
              <w:jc w:val="center"/>
            </w:pPr>
            <w:r/>
            <w:r>
              <w:rPr>
                <w:sz w:val="20"/>
              </w:rPr>
              <w:t>38</w:t>
            </w:r>
          </w:p>
        </w:tc>
        <w:tc>
          <w:tcPr>
            <w:tcW w:type="dxa" w:w="907"/>
          </w:tcPr>
          <w:p>
            <w:pPr>
              <w:jc w:val="center"/>
            </w:pPr>
            <w:r/>
            <w:r>
              <w:rPr>
                <w:sz w:val="20"/>
              </w:rPr>
              <w:t>163</w:t>
            </w:r>
          </w:p>
        </w:tc>
        <w:tc>
          <w:tcPr>
            <w:tcW w:type="dxa" w:w="1928"/>
          </w:tcPr>
          <w:p>
            <w:pPr>
              <w:jc w:val="left"/>
            </w:pPr>
            <w:r/>
            <w:r>
              <w:rPr>
                <w:sz w:val="20"/>
              </w:rPr>
              <w:t>п. 11.5, таблицы 9, 10</w:t>
            </w:r>
          </w:p>
        </w:tc>
        <w:tc>
          <w:tcPr>
            <w:tcW w:type="dxa" w:w="4649"/>
          </w:tcPr>
          <w:p>
            <w:pPr>
              <w:jc w:val="left"/>
            </w:pPr>
            <w:r/>
            <w:r>
              <w:rPr>
                <w:sz w:val="20"/>
              </w:rPr>
              <w:t>Локальные и очаговые это одно и то же</w:t>
            </w:r>
          </w:p>
        </w:tc>
        <w:tc>
          <w:tcPr>
            <w:tcW w:type="dxa" w:w="7087"/>
          </w:tcPr>
          <w:p>
            <w:pPr>
              <w:jc w:val="left"/>
            </w:pPr>
            <w:r/>
            <w:r>
              <w:rPr>
                <w:sz w:val="20"/>
              </w:rPr>
              <w:t>Деление трещин на «локальные» и «очаговые» исключено; ширина раскрытия трещин – количественный показатель (К1 = 0,1 мм, К2 = 0,5 мм).</w:t>
            </w:r>
          </w:p>
        </w:tc>
      </w:tr>
      <w:tr>
        <w:trPr>
          <w:cantSplit w:val="true"/>
        </w:trPr>
        <w:tc>
          <w:tcPr>
            <w:tcW w:type="dxa" w:w="567"/>
          </w:tcPr>
          <w:p>
            <w:pPr>
              <w:jc w:val="center"/>
            </w:pPr>
            <w:r/>
            <w:r>
              <w:rPr>
                <w:sz w:val="20"/>
              </w:rPr>
              <w:t>39</w:t>
            </w:r>
          </w:p>
        </w:tc>
        <w:tc>
          <w:tcPr>
            <w:tcW w:type="dxa" w:w="907"/>
          </w:tcPr>
          <w:p>
            <w:pPr>
              <w:jc w:val="center"/>
            </w:pPr>
            <w:r/>
            <w:r>
              <w:rPr>
                <w:sz w:val="20"/>
              </w:rPr>
              <w:t>164</w:t>
            </w:r>
          </w:p>
        </w:tc>
        <w:tc>
          <w:tcPr>
            <w:tcW w:type="dxa" w:w="1928"/>
          </w:tcPr>
          <w:p>
            <w:pPr>
              <w:jc w:val="left"/>
            </w:pPr>
            <w:r/>
            <w:r>
              <w:rPr>
                <w:sz w:val="20"/>
              </w:rPr>
              <w:t>п. 11.5, таблица 9</w:t>
            </w:r>
          </w:p>
        </w:tc>
        <w:tc>
          <w:tcPr>
            <w:tcW w:type="dxa" w:w="4649"/>
          </w:tcPr>
          <w:p>
            <w:pPr>
              <w:jc w:val="left"/>
            </w:pPr>
            <w:r/>
            <w:r>
              <w:rPr>
                <w:sz w:val="20"/>
              </w:rPr>
              <w:t>Между К1 и К2 должен быть интервал. Это количественный критерий</w:t>
            </w:r>
          </w:p>
        </w:tc>
        <w:tc>
          <w:tcPr>
            <w:tcW w:type="dxa" w:w="7087"/>
          </w:tcPr>
          <w:p>
            <w:pPr>
              <w:jc w:val="left"/>
            </w:pPr>
            <w:r/>
            <w:r>
              <w:rPr>
                <w:sz w:val="20"/>
              </w:rPr>
              <w:t>Дефекты поверхности бетона переведены в количественный показатель с интервалом: К1 = 40 % (по критериям 2022 г.), К2 = 60 % площади поверхности.</w:t>
            </w:r>
          </w:p>
        </w:tc>
      </w:tr>
      <w:tr>
        <w:trPr>
          <w:cantSplit w:val="true"/>
        </w:trPr>
        <w:tc>
          <w:tcPr>
            <w:tcW w:type="dxa" w:w="567"/>
          </w:tcPr>
          <w:p>
            <w:pPr>
              <w:jc w:val="center"/>
            </w:pPr>
            <w:r/>
            <w:r>
              <w:rPr>
                <w:sz w:val="20"/>
              </w:rPr>
              <w:t>40</w:t>
            </w:r>
          </w:p>
        </w:tc>
        <w:tc>
          <w:tcPr>
            <w:tcW w:type="dxa" w:w="907"/>
          </w:tcPr>
          <w:p>
            <w:pPr>
              <w:jc w:val="center"/>
            </w:pPr>
            <w:r/>
            <w:r>
              <w:rPr>
                <w:sz w:val="20"/>
              </w:rPr>
              <w:t>165</w:t>
            </w:r>
          </w:p>
        </w:tc>
        <w:tc>
          <w:tcPr>
            <w:tcW w:type="dxa" w:w="1928"/>
          </w:tcPr>
          <w:p>
            <w:pPr>
              <w:jc w:val="left"/>
            </w:pPr>
            <w:r/>
            <w:r>
              <w:rPr>
                <w:sz w:val="20"/>
              </w:rPr>
              <w:t>п. 11.5, таблица 9</w:t>
            </w:r>
          </w:p>
        </w:tc>
        <w:tc>
          <w:tcPr>
            <w:tcW w:type="dxa" w:w="4649"/>
          </w:tcPr>
          <w:p>
            <w:pPr>
              <w:jc w:val="left"/>
            </w:pPr>
            <w:r/>
            <w:r>
              <w:rPr>
                <w:sz w:val="20"/>
              </w:rPr>
              <w:t>При таком критерии невозможно превысить К2</w:t>
            </w:r>
          </w:p>
        </w:tc>
        <w:tc>
          <w:tcPr>
            <w:tcW w:type="dxa" w:w="7087"/>
          </w:tcPr>
          <w:p>
            <w:pPr>
              <w:jc w:val="left"/>
            </w:pPr>
            <w:r/>
            <w:r>
              <w:rPr>
                <w:sz w:val="20"/>
              </w:rPr>
              <w:t>Обнажение арматуры выделено в отдельный количественный показатель с интервалом: К1 = 5 % (по критериям 2022 г.), К2 = 10 % площади поверхности; превышение К2 достижимо.</w:t>
            </w:r>
          </w:p>
        </w:tc>
      </w:tr>
      <w:tr>
        <w:trPr>
          <w:cantSplit w:val="true"/>
        </w:trPr>
        <w:tc>
          <w:tcPr>
            <w:tcW w:type="dxa" w:w="567"/>
          </w:tcPr>
          <w:p>
            <w:pPr>
              <w:jc w:val="center"/>
            </w:pPr>
            <w:r/>
            <w:r>
              <w:rPr>
                <w:sz w:val="20"/>
              </w:rPr>
              <w:t>41</w:t>
            </w:r>
          </w:p>
        </w:tc>
        <w:tc>
          <w:tcPr>
            <w:tcW w:type="dxa" w:w="907"/>
          </w:tcPr>
          <w:p>
            <w:pPr>
              <w:jc w:val="center"/>
            </w:pPr>
            <w:r/>
            <w:r>
              <w:rPr>
                <w:sz w:val="20"/>
              </w:rPr>
              <w:t>166</w:t>
            </w:r>
          </w:p>
        </w:tc>
        <w:tc>
          <w:tcPr>
            <w:tcW w:type="dxa" w:w="1928"/>
          </w:tcPr>
          <w:p>
            <w:pPr>
              <w:jc w:val="left"/>
            </w:pPr>
            <w:r/>
            <w:r>
              <w:rPr>
                <w:sz w:val="20"/>
              </w:rPr>
              <w:t>п. 11.5, таблица 9</w:t>
            </w:r>
          </w:p>
        </w:tc>
        <w:tc>
          <w:tcPr>
            <w:tcW w:type="dxa" w:w="4649"/>
          </w:tcPr>
          <w:p>
            <w:pPr>
              <w:jc w:val="left"/>
            </w:pPr>
            <w:r/>
            <w:r>
              <w:rPr>
                <w:sz w:val="20"/>
              </w:rPr>
              <w:t>При таком критерии невозможно превысить К2. Это количественный критерий</w:t>
            </w:r>
          </w:p>
        </w:tc>
        <w:tc>
          <w:tcPr>
            <w:tcW w:type="dxa" w:w="7087"/>
          </w:tcPr>
          <w:p>
            <w:pPr>
              <w:jc w:val="left"/>
            </w:pPr>
            <w:r/>
            <w:r>
              <w:rPr>
                <w:sz w:val="20"/>
              </w:rPr>
              <w:t>Разрушение уплотнений затворов – количественный показатель протечек: К1 = 0,3 л/с, К2 = 1,0 л/с на 1 м длины уплотнения; фактическое значение приведено в тех же единицах.</w:t>
            </w:r>
          </w:p>
        </w:tc>
      </w:tr>
      <w:tr>
        <w:trPr>
          <w:cantSplit w:val="true"/>
        </w:trPr>
        <w:tc>
          <w:tcPr>
            <w:tcW w:type="dxa" w:w="567"/>
          </w:tcPr>
          <w:p>
            <w:pPr>
              <w:jc w:val="center"/>
            </w:pPr>
            <w:r/>
            <w:r>
              <w:rPr>
                <w:sz w:val="20"/>
              </w:rPr>
              <w:t>42</w:t>
            </w:r>
          </w:p>
        </w:tc>
        <w:tc>
          <w:tcPr>
            <w:tcW w:type="dxa" w:w="907"/>
          </w:tcPr>
          <w:p>
            <w:pPr>
              <w:jc w:val="center"/>
            </w:pPr>
            <w:r/>
            <w:r>
              <w:rPr>
                <w:sz w:val="20"/>
              </w:rPr>
              <w:t>167</w:t>
            </w:r>
          </w:p>
        </w:tc>
        <w:tc>
          <w:tcPr>
            <w:tcW w:type="dxa" w:w="1928"/>
          </w:tcPr>
          <w:p>
            <w:pPr>
              <w:jc w:val="left"/>
            </w:pPr>
            <w:r/>
            <w:r>
              <w:rPr>
                <w:sz w:val="20"/>
              </w:rPr>
              <w:t>п. 11.5, таблица 9</w:t>
            </w:r>
          </w:p>
        </w:tc>
        <w:tc>
          <w:tcPr>
            <w:tcW w:type="dxa" w:w="4649"/>
          </w:tcPr>
          <w:p>
            <w:pPr>
              <w:jc w:val="left"/>
            </w:pPr>
            <w:r/>
            <w:r>
              <w:rPr>
                <w:sz w:val="20"/>
              </w:rPr>
              <w:t>Между К1 и К2 должен быть интервал. Это количественный критерий</w:t>
            </w:r>
          </w:p>
        </w:tc>
        <w:tc>
          <w:tcPr>
            <w:tcW w:type="dxa" w:w="7087"/>
          </w:tcPr>
          <w:p>
            <w:pPr>
              <w:jc w:val="left"/>
            </w:pPr>
            <w:r/>
            <w:r>
              <w:rPr>
                <w:sz w:val="20"/>
              </w:rPr>
              <w:t>Коррозия затворов и подъёмного оборудования – количественный показатель: К1 = 20 %, К2 = 30 % исходной толщины.</w:t>
            </w:r>
          </w:p>
        </w:tc>
      </w:tr>
      <w:tr>
        <w:trPr>
          <w:cantSplit w:val="true"/>
        </w:trPr>
        <w:tc>
          <w:tcPr>
            <w:tcW w:type="dxa" w:w="567"/>
          </w:tcPr>
          <w:p>
            <w:pPr>
              <w:jc w:val="center"/>
            </w:pPr>
            <w:r/>
            <w:r>
              <w:rPr>
                <w:sz w:val="20"/>
              </w:rPr>
              <w:t>43</w:t>
            </w:r>
          </w:p>
        </w:tc>
        <w:tc>
          <w:tcPr>
            <w:tcW w:type="dxa" w:w="907"/>
          </w:tcPr>
          <w:p>
            <w:pPr>
              <w:jc w:val="center"/>
            </w:pPr>
            <w:r/>
            <w:r>
              <w:rPr>
                <w:sz w:val="20"/>
              </w:rPr>
              <w:t>170</w:t>
            </w:r>
          </w:p>
        </w:tc>
        <w:tc>
          <w:tcPr>
            <w:tcW w:type="dxa" w:w="1928"/>
          </w:tcPr>
          <w:p>
            <w:pPr>
              <w:jc w:val="left"/>
            </w:pPr>
            <w:r/>
            <w:r>
              <w:rPr>
                <w:sz w:val="20"/>
              </w:rPr>
              <w:t>п. 11.6</w:t>
            </w:r>
          </w:p>
        </w:tc>
        <w:tc>
          <w:tcPr>
            <w:tcW w:type="dxa" w:w="4649"/>
          </w:tcPr>
          <w:p>
            <w:pPr>
              <w:jc w:val="left"/>
            </w:pPr>
            <w:r/>
            <w:r>
              <w:rPr>
                <w:sz w:val="20"/>
              </w:rPr>
              <w:t>117-ФЗ, 1892, 151 этим документам должен соответствовать</w:t>
            </w:r>
          </w:p>
        </w:tc>
        <w:tc>
          <w:tcPr>
            <w:tcW w:type="dxa" w:w="7087"/>
          </w:tcPr>
          <w:p>
            <w:pPr>
              <w:jc w:val="left"/>
            </w:pPr>
            <w:r/>
            <w:r>
              <w:rPr>
                <w:sz w:val="20"/>
              </w:rPr>
              <w:t>Соответствие оценено по требованиям 117-ФЗ, постановления Правительства РФ № 1892, ФНП (приказ Ростехнадзора № 151) и СП 58.13330.2019; выявленные несоответствия перечислены с указанием пунктов (в т. ч. пп. 9, 19, 27, 28, 121, 124, 125, 128 ФНП, ст. 9 117-ФЗ); добавлены сведения о соответствии известным проектным значениям параметров ГТС.</w:t>
            </w:r>
          </w:p>
        </w:tc>
      </w:tr>
      <w:tr>
        <w:trPr>
          <w:cantSplit w:val="true"/>
        </w:trPr>
        <w:tc>
          <w:tcPr>
            <w:tcW w:type="dxa" w:w="567"/>
          </w:tcPr>
          <w:p>
            <w:pPr>
              <w:jc w:val="center"/>
            </w:pPr>
            <w:r/>
            <w:r>
              <w:rPr>
                <w:sz w:val="20"/>
              </w:rPr>
              <w:t>44</w:t>
            </w:r>
          </w:p>
        </w:tc>
        <w:tc>
          <w:tcPr>
            <w:tcW w:type="dxa" w:w="907"/>
          </w:tcPr>
          <w:p>
            <w:pPr>
              <w:jc w:val="center"/>
            </w:pPr>
            <w:r/>
            <w:r>
              <w:rPr>
                <w:sz w:val="20"/>
              </w:rPr>
              <w:t>171</w:t>
            </w:r>
          </w:p>
        </w:tc>
        <w:tc>
          <w:tcPr>
            <w:tcW w:type="dxa" w:w="1928"/>
          </w:tcPr>
          <w:p>
            <w:pPr>
              <w:jc w:val="left"/>
            </w:pPr>
            <w:r/>
            <w:r>
              <w:rPr>
                <w:sz w:val="20"/>
              </w:rPr>
              <w:t>п. 11.6, таблицы 11, 12</w:t>
            </w:r>
          </w:p>
        </w:tc>
        <w:tc>
          <w:tcPr>
            <w:tcW w:type="dxa" w:w="4649"/>
          </w:tcPr>
          <w:p>
            <w:pPr>
              <w:jc w:val="left"/>
            </w:pPr>
            <w:r/>
            <w:r>
              <w:rPr>
                <w:sz w:val="20"/>
              </w:rPr>
              <w:t>Необходимо откооректировать критерии в соответствии с замечаниями выше и уже по ним провести оценку фактического состояния</w:t>
            </w:r>
          </w:p>
        </w:tc>
        <w:tc>
          <w:tcPr>
            <w:tcW w:type="dxa" w:w="7087"/>
          </w:tcPr>
          <w:p>
            <w:pPr>
              <w:jc w:val="left"/>
            </w:pPr>
            <w:r/>
            <w:r>
              <w:rPr>
                <w:sz w:val="20"/>
              </w:rPr>
              <w:t>Оценка фактического состояния выполнена по уточнённым критериям безопасности (таблицы 9, 10): значения семи показателей превышают К1, но не превышают К2; остальные – не превышают К1 (по отметкам днищ – по оценке акта ПДО; нивелирование включено в перечень мер).</w:t>
            </w:r>
          </w:p>
        </w:tc>
      </w:tr>
      <w:tr>
        <w:trPr>
          <w:cantSplit w:val="true"/>
        </w:trPr>
        <w:tc>
          <w:tcPr>
            <w:tcW w:type="dxa" w:w="567"/>
          </w:tcPr>
          <w:p>
            <w:pPr>
              <w:jc w:val="center"/>
            </w:pPr>
            <w:r/>
            <w:r>
              <w:rPr>
                <w:sz w:val="20"/>
              </w:rPr>
              <w:t>45</w:t>
            </w:r>
          </w:p>
        </w:tc>
        <w:tc>
          <w:tcPr>
            <w:tcW w:type="dxa" w:w="907"/>
          </w:tcPr>
          <w:p>
            <w:pPr>
              <w:jc w:val="center"/>
            </w:pPr>
            <w:r/>
            <w:r>
              <w:rPr>
                <w:sz w:val="20"/>
              </w:rPr>
              <w:t>173</w:t>
            </w:r>
          </w:p>
        </w:tc>
        <w:tc>
          <w:tcPr>
            <w:tcW w:type="dxa" w:w="1928"/>
          </w:tcPr>
          <w:p>
            <w:pPr>
              <w:jc w:val="left"/>
            </w:pPr>
            <w:r/>
            <w:r>
              <w:rPr>
                <w:sz w:val="20"/>
              </w:rPr>
              <w:t>п. 11.6, таблицы 11, 12</w:t>
            </w:r>
          </w:p>
        </w:tc>
        <w:tc>
          <w:tcPr>
            <w:tcW w:type="dxa" w:w="4649"/>
          </w:tcPr>
          <w:p>
            <w:pPr>
              <w:jc w:val="left"/>
            </w:pPr>
            <w:r/>
            <w:r>
              <w:rPr>
                <w:sz w:val="20"/>
              </w:rPr>
              <w:t>Необходимо формулировать соответствие критерями следующим образом «не превышает/превышает К1 (К2)»</w:t>
            </w:r>
          </w:p>
        </w:tc>
        <w:tc>
          <w:tcPr>
            <w:tcW w:type="dxa" w:w="7087"/>
          </w:tcPr>
          <w:p>
            <w:pPr>
              <w:jc w:val="left"/>
            </w:pPr>
            <w:r/>
            <w:r>
              <w:rPr>
                <w:sz w:val="20"/>
              </w:rPr>
              <w:t>Соответствие сформулировано как «Не превышает К1» / «Превышает К1, не превышает К2».</w:t>
            </w:r>
          </w:p>
        </w:tc>
      </w:tr>
      <w:tr>
        <w:trPr>
          <w:cantSplit w:val="true"/>
        </w:trPr>
        <w:tc>
          <w:tcPr>
            <w:tcW w:type="dxa" w:w="567"/>
          </w:tcPr>
          <w:p>
            <w:pPr>
              <w:jc w:val="center"/>
            </w:pPr>
            <w:r/>
            <w:r>
              <w:rPr>
                <w:sz w:val="20"/>
              </w:rPr>
              <w:t>46</w:t>
            </w:r>
          </w:p>
        </w:tc>
        <w:tc>
          <w:tcPr>
            <w:tcW w:type="dxa" w:w="907"/>
          </w:tcPr>
          <w:p>
            <w:pPr>
              <w:jc w:val="center"/>
            </w:pPr>
            <w:r/>
            <w:r>
              <w:rPr>
                <w:sz w:val="20"/>
              </w:rPr>
              <w:t>181</w:t>
            </w:r>
          </w:p>
        </w:tc>
        <w:tc>
          <w:tcPr>
            <w:tcW w:type="dxa" w:w="1928"/>
          </w:tcPr>
          <w:p>
            <w:pPr>
              <w:jc w:val="left"/>
            </w:pPr>
            <w:r/>
            <w:r>
              <w:rPr>
                <w:sz w:val="20"/>
              </w:rPr>
              <w:t>п. 12.2</w:t>
            </w:r>
          </w:p>
        </w:tc>
        <w:tc>
          <w:tcPr>
            <w:tcW w:type="dxa" w:w="4649"/>
          </w:tcPr>
          <w:p>
            <w:pPr>
              <w:jc w:val="left"/>
            </w:pPr>
            <w:r/>
            <w:r>
              <w:rPr>
                <w:sz w:val="20"/>
              </w:rPr>
              <w:t>Почему ничего не расписано про С2</w:t>
            </w:r>
          </w:p>
        </w:tc>
        <w:tc>
          <w:tcPr>
            <w:tcW w:type="dxa" w:w="7087"/>
          </w:tcPr>
          <w:p>
            <w:pPr>
              <w:jc w:val="left"/>
            </w:pPr>
            <w:r/>
            <w:r>
              <w:rPr>
                <w:sz w:val="20"/>
              </w:rPr>
              <w:t>Добавлены сведения о сценарии С2 (вероятность 1,35·10⁻⁶ 1/год; не является ни наиболее вероятным, ни наиболее тяжёлым); в таблице 13 исправлены смещённые между строками описания стадий и последствия сценариев С1–С3.</w:t>
            </w:r>
          </w:p>
        </w:tc>
      </w:tr>
      <w:tr>
        <w:trPr>
          <w:cantSplit w:val="true"/>
        </w:trPr>
        <w:tc>
          <w:tcPr>
            <w:tcW w:type="dxa" w:w="567"/>
          </w:tcPr>
          <w:p>
            <w:pPr>
              <w:jc w:val="center"/>
            </w:pPr>
            <w:r/>
            <w:r>
              <w:rPr>
                <w:sz w:val="20"/>
              </w:rPr>
              <w:t>47</w:t>
            </w:r>
          </w:p>
        </w:tc>
        <w:tc>
          <w:tcPr>
            <w:tcW w:type="dxa" w:w="907"/>
          </w:tcPr>
          <w:p>
            <w:pPr>
              <w:jc w:val="center"/>
            </w:pPr>
            <w:r/>
            <w:r>
              <w:rPr>
                <w:sz w:val="20"/>
              </w:rPr>
              <w:t>184</w:t>
            </w:r>
          </w:p>
        </w:tc>
        <w:tc>
          <w:tcPr>
            <w:tcW w:type="dxa" w:w="1928"/>
          </w:tcPr>
          <w:p>
            <w:pPr>
              <w:jc w:val="left"/>
            </w:pPr>
            <w:r/>
            <w:r>
              <w:rPr>
                <w:sz w:val="20"/>
              </w:rPr>
              <w:t>п. 12.3</w:t>
            </w:r>
          </w:p>
        </w:tc>
        <w:tc>
          <w:tcPr>
            <w:tcW w:type="dxa" w:w="4649"/>
          </w:tcPr>
          <w:p>
            <w:pPr>
              <w:jc w:val="left"/>
            </w:pPr>
            <w:r/>
            <w:r>
              <w:rPr>
                <w:sz w:val="20"/>
              </w:rPr>
              <w:t>В этом разделе не требуется весь приведенный ниже расчет. Необходимо только написать названия сценариев и указать их вероятности</w:t>
            </w:r>
          </w:p>
        </w:tc>
        <w:tc>
          <w:tcPr>
            <w:tcW w:type="dxa" w:w="7087"/>
          </w:tcPr>
          <w:p>
            <w:pPr>
              <w:jc w:val="left"/>
            </w:pPr>
            <w:r/>
            <w:r>
              <w:rPr>
                <w:sz w:val="20"/>
              </w:rPr>
              <w:t>Расчёт исключён; приведены только наименования сценариев и их вероятности.</w:t>
            </w:r>
          </w:p>
        </w:tc>
      </w:tr>
      <w:tr>
        <w:trPr>
          <w:cantSplit w:val="true"/>
        </w:trPr>
        <w:tc>
          <w:tcPr>
            <w:tcW w:type="dxa" w:w="567"/>
          </w:tcPr>
          <w:p>
            <w:pPr>
              <w:jc w:val="center"/>
            </w:pPr>
            <w:r/>
            <w:r>
              <w:rPr>
                <w:sz w:val="20"/>
              </w:rPr>
              <w:t>48</w:t>
            </w:r>
          </w:p>
        </w:tc>
        <w:tc>
          <w:tcPr>
            <w:tcW w:type="dxa" w:w="907"/>
          </w:tcPr>
          <w:p>
            <w:pPr>
              <w:jc w:val="center"/>
            </w:pPr>
            <w:r/>
            <w:r>
              <w:rPr>
                <w:sz w:val="20"/>
              </w:rPr>
              <w:t>193</w:t>
            </w:r>
          </w:p>
        </w:tc>
        <w:tc>
          <w:tcPr>
            <w:tcW w:type="dxa" w:w="1928"/>
          </w:tcPr>
          <w:p>
            <w:pPr>
              <w:jc w:val="left"/>
            </w:pPr>
            <w:r/>
            <w:r>
              <w:rPr>
                <w:sz w:val="20"/>
              </w:rPr>
              <w:t>п. 12.6</w:t>
            </w:r>
          </w:p>
        </w:tc>
        <w:tc>
          <w:tcPr>
            <w:tcW w:type="dxa" w:w="4649"/>
          </w:tcPr>
          <w:p>
            <w:pPr>
              <w:jc w:val="left"/>
            </w:pPr>
            <w:r/>
            <w:r>
              <w:rPr>
                <w:sz w:val="20"/>
              </w:rPr>
              <w:t>В этом разделе не требуется подробностей как именно и на основании каких показателей был выполнен расчет. Необходим только конечный результат</w:t>
            </w:r>
          </w:p>
        </w:tc>
        <w:tc>
          <w:tcPr>
            <w:tcW w:type="dxa" w:w="7087"/>
          </w:tcPr>
          <w:p>
            <w:pPr>
              <w:jc w:val="left"/>
            </w:pPr>
            <w:r/>
            <w:r>
              <w:rPr>
                <w:sz w:val="20"/>
              </w:rPr>
              <w:t>Подробности расчёта исключены; приведён только итоговый размер вероятного вреда – 3 425 741,71 руб.</w:t>
            </w:r>
          </w:p>
        </w:tc>
      </w:tr>
      <w:tr>
        <w:trPr>
          <w:cantSplit w:val="true"/>
        </w:trPr>
        <w:tc>
          <w:tcPr>
            <w:tcW w:type="dxa" w:w="567"/>
          </w:tcPr>
          <w:p>
            <w:pPr>
              <w:jc w:val="center"/>
            </w:pPr>
            <w:r/>
            <w:r>
              <w:rPr>
                <w:sz w:val="20"/>
              </w:rPr>
              <w:t>49</w:t>
            </w:r>
          </w:p>
        </w:tc>
        <w:tc>
          <w:tcPr>
            <w:tcW w:type="dxa" w:w="907"/>
          </w:tcPr>
          <w:p>
            <w:pPr>
              <w:jc w:val="center"/>
            </w:pPr>
            <w:r/>
            <w:r>
              <w:rPr>
                <w:sz w:val="20"/>
              </w:rPr>
              <w:t>197</w:t>
            </w:r>
          </w:p>
        </w:tc>
        <w:tc>
          <w:tcPr>
            <w:tcW w:type="dxa" w:w="1928"/>
          </w:tcPr>
          <w:p>
            <w:pPr>
              <w:jc w:val="left"/>
            </w:pPr>
            <w:r/>
            <w:r>
              <w:rPr>
                <w:sz w:val="20"/>
              </w:rPr>
              <w:t>п. 12.7</w:t>
            </w:r>
          </w:p>
        </w:tc>
        <w:tc>
          <w:tcPr>
            <w:tcW w:type="dxa" w:w="4649"/>
          </w:tcPr>
          <w:p>
            <w:pPr>
              <w:jc w:val="left"/>
            </w:pPr>
            <w:r/>
            <w:r>
              <w:rPr>
                <w:sz w:val="20"/>
              </w:rPr>
              <w:t>Необходимо сделать выводы о соответствии по СП 58.13330.2019 табл. 8.1 п. 8.2.5.</w:t>
            </w:r>
          </w:p>
        </w:tc>
        <w:tc>
          <w:tcPr>
            <w:tcW w:type="dxa" w:w="7087"/>
          </w:tcPr>
          <w:p>
            <w:pPr>
              <w:jc w:val="left"/>
            </w:pPr>
            <w:r/>
            <w:r>
              <w:rPr>
                <w:sz w:val="20"/>
              </w:rPr>
              <w:t>Сделан вывод о соответствии: вероятность аварии 1,93·10⁻³ 1/год не превышает допустимого значения 2,5·10⁻³ 1/год для ГТС III класса (п. 8.25, табл. 8.1 СП 58.13330.2019).</w:t>
            </w:r>
          </w:p>
        </w:tc>
      </w:tr>
      <w:tr>
        <w:trPr>
          <w:cantSplit w:val="true"/>
        </w:trPr>
        <w:tc>
          <w:tcPr>
            <w:tcW w:type="dxa" w:w="567"/>
          </w:tcPr>
          <w:p>
            <w:pPr>
              <w:jc w:val="center"/>
            </w:pPr>
            <w:r/>
            <w:r>
              <w:rPr>
                <w:sz w:val="20"/>
              </w:rPr>
              <w:t>50</w:t>
            </w:r>
          </w:p>
        </w:tc>
        <w:tc>
          <w:tcPr>
            <w:tcW w:type="dxa" w:w="907"/>
          </w:tcPr>
          <w:p>
            <w:pPr>
              <w:jc w:val="center"/>
            </w:pPr>
            <w:r/>
            <w:r>
              <w:rPr>
                <w:sz w:val="20"/>
              </w:rPr>
              <w:t>204</w:t>
            </w:r>
          </w:p>
        </w:tc>
        <w:tc>
          <w:tcPr>
            <w:tcW w:type="dxa" w:w="1928"/>
          </w:tcPr>
          <w:p>
            <w:pPr>
              <w:jc w:val="left"/>
            </w:pPr>
            <w:r/>
            <w:r>
              <w:rPr>
                <w:sz w:val="20"/>
              </w:rPr>
              <w:t>п. 13.1</w:t>
            </w:r>
          </w:p>
        </w:tc>
        <w:tc>
          <w:tcPr>
            <w:tcW w:type="dxa" w:w="4649"/>
          </w:tcPr>
          <w:p>
            <w:pPr>
              <w:jc w:val="left"/>
            </w:pPr>
            <w:r/>
            <w:r>
              <w:rPr>
                <w:sz w:val="20"/>
              </w:rPr>
              <w:t>Таблица 7 п.6.8 учения проводились</w:t>
            </w:r>
          </w:p>
        </w:tc>
        <w:tc>
          <w:tcPr>
            <w:tcW w:type="dxa" w:w="7087"/>
          </w:tcPr>
          <w:p>
            <w:pPr>
              <w:jc w:val="left"/>
            </w:pPr>
            <w:r/>
            <w:r>
              <w:rPr>
                <w:sz w:val="20"/>
              </w:rPr>
              <w:t>Утверждение о непроведении учений исключено (учения проводились 18.09.2025 – таблица 6, п. 6.8).</w:t>
            </w:r>
          </w:p>
        </w:tc>
      </w:tr>
      <w:tr>
        <w:trPr>
          <w:cantSplit w:val="true"/>
        </w:trPr>
        <w:tc>
          <w:tcPr>
            <w:tcW w:type="dxa" w:w="567"/>
          </w:tcPr>
          <w:p>
            <w:pPr>
              <w:jc w:val="center"/>
            </w:pPr>
            <w:r/>
            <w:r>
              <w:rPr>
                <w:sz w:val="20"/>
              </w:rPr>
              <w:t>51</w:t>
            </w:r>
          </w:p>
        </w:tc>
        <w:tc>
          <w:tcPr>
            <w:tcW w:type="dxa" w:w="907"/>
          </w:tcPr>
          <w:p>
            <w:pPr>
              <w:jc w:val="center"/>
            </w:pPr>
            <w:r/>
            <w:r>
              <w:rPr>
                <w:sz w:val="20"/>
              </w:rPr>
              <w:t>205</w:t>
            </w:r>
          </w:p>
        </w:tc>
        <w:tc>
          <w:tcPr>
            <w:tcW w:type="dxa" w:w="1928"/>
          </w:tcPr>
          <w:p>
            <w:pPr>
              <w:jc w:val="left"/>
            </w:pPr>
            <w:r/>
            <w:r>
              <w:rPr>
                <w:sz w:val="20"/>
              </w:rPr>
              <w:t>п. 13.1</w:t>
            </w:r>
          </w:p>
        </w:tc>
        <w:tc>
          <w:tcPr>
            <w:tcW w:type="dxa" w:w="4649"/>
          </w:tcPr>
          <w:p>
            <w:pPr>
              <w:jc w:val="left"/>
            </w:pPr>
            <w:r/>
            <w:r>
              <w:rPr>
                <w:sz w:val="20"/>
              </w:rPr>
              <w:t>Неудовлетворительный. Часть критериев превышает К1</w:t>
            </w:r>
          </w:p>
        </w:tc>
        <w:tc>
          <w:tcPr>
            <w:tcW w:type="dxa" w:w="7087"/>
          </w:tcPr>
          <w:p>
            <w:pPr>
              <w:jc w:val="left"/>
            </w:pPr>
            <w:r/>
            <w:r>
              <w:rPr>
                <w:sz w:val="20"/>
              </w:rPr>
              <w:t>Уровень безопасности – неудовлетворительный (часть диагностических показателей превышает К1).</w:t>
            </w:r>
          </w:p>
        </w:tc>
      </w:tr>
      <w:tr>
        <w:trPr>
          <w:cantSplit w:val="true"/>
        </w:trPr>
        <w:tc>
          <w:tcPr>
            <w:tcW w:type="dxa" w:w="567"/>
          </w:tcPr>
          <w:p>
            <w:pPr>
              <w:jc w:val="center"/>
            </w:pPr>
            <w:r/>
            <w:r>
              <w:rPr>
                <w:sz w:val="20"/>
              </w:rPr>
              <w:t>52</w:t>
            </w:r>
          </w:p>
        </w:tc>
        <w:tc>
          <w:tcPr>
            <w:tcW w:type="dxa" w:w="907"/>
          </w:tcPr>
          <w:p>
            <w:pPr>
              <w:jc w:val="center"/>
            </w:pPr>
            <w:r/>
            <w:r>
              <w:rPr>
                <w:sz w:val="20"/>
              </w:rPr>
              <w:t>214</w:t>
            </w:r>
          </w:p>
        </w:tc>
        <w:tc>
          <w:tcPr>
            <w:tcW w:type="dxa" w:w="1928"/>
          </w:tcPr>
          <w:p>
            <w:pPr>
              <w:jc w:val="left"/>
            </w:pPr>
            <w:r/>
            <w:r>
              <w:rPr>
                <w:sz w:val="20"/>
              </w:rPr>
              <w:t>п. 14.5</w:t>
            </w:r>
          </w:p>
        </w:tc>
        <w:tc>
          <w:tcPr>
            <w:tcW w:type="dxa" w:w="4649"/>
          </w:tcPr>
          <w:p>
            <w:pPr>
              <w:jc w:val="left"/>
            </w:pPr>
            <w:r/>
            <w:r>
              <w:rPr>
                <w:sz w:val="20"/>
              </w:rPr>
              <w:t>В п.14.5 необходимо добавить оценку готовности эксплуатирующей организации</w:t>
            </w:r>
          </w:p>
        </w:tc>
        <w:tc>
          <w:tcPr>
            <w:tcW w:type="dxa" w:w="7087"/>
          </w:tcPr>
          <w:p>
            <w:pPr>
              <w:jc w:val="left"/>
            </w:pPr>
            <w:r/>
            <w:r>
              <w:rPr>
                <w:sz w:val="20"/>
              </w:rPr>
              <w:t>Добавлена оценка готовности эксплуатирующей организации к предупреждению, локализации и ликвидации ЧС.</w:t>
            </w:r>
          </w:p>
        </w:tc>
      </w:tr>
      <w:tr>
        <w:trPr>
          <w:cantSplit w:val="true"/>
        </w:trPr>
        <w:tc>
          <w:tcPr>
            <w:tcW w:type="dxa" w:w="567"/>
          </w:tcPr>
          <w:p>
            <w:pPr>
              <w:jc w:val="center"/>
            </w:pPr>
            <w:r/>
            <w:r>
              <w:rPr>
                <w:sz w:val="20"/>
              </w:rPr>
              <w:t>53</w:t>
            </w:r>
          </w:p>
        </w:tc>
        <w:tc>
          <w:tcPr>
            <w:tcW w:type="dxa" w:w="907"/>
          </w:tcPr>
          <w:p>
            <w:pPr>
              <w:jc w:val="center"/>
            </w:pPr>
            <w:r/>
            <w:r>
              <w:rPr>
                <w:sz w:val="20"/>
              </w:rPr>
              <w:t>226</w:t>
            </w:r>
          </w:p>
        </w:tc>
        <w:tc>
          <w:tcPr>
            <w:tcW w:type="dxa" w:w="1928"/>
          </w:tcPr>
          <w:p>
            <w:pPr>
              <w:jc w:val="left"/>
            </w:pPr>
            <w:r/>
            <w:r>
              <w:rPr>
                <w:sz w:val="20"/>
              </w:rPr>
              <w:t>п. 14.5</w:t>
            </w:r>
          </w:p>
        </w:tc>
        <w:tc>
          <w:tcPr>
            <w:tcW w:type="dxa" w:w="4649"/>
          </w:tcPr>
          <w:p>
            <w:pPr>
              <w:jc w:val="left"/>
            </w:pPr>
            <w:r/>
            <w:r>
              <w:rPr>
                <w:sz w:val="20"/>
              </w:rPr>
              <w:t>Таблица 7 п.6.8 учения проводились</w:t>
            </w:r>
          </w:p>
        </w:tc>
        <w:tc>
          <w:tcPr>
            <w:tcW w:type="dxa" w:w="7087"/>
          </w:tcPr>
          <w:p>
            <w:pPr>
              <w:jc w:val="left"/>
            </w:pPr>
            <w:r/>
            <w:r>
              <w:rPr>
                <w:sz w:val="20"/>
              </w:rPr>
              <w:t>Исправлено: учения и тренировки проводились (таблица 6, п. 6.8 – 18.09.2025).</w:t>
            </w:r>
          </w:p>
        </w:tc>
      </w:tr>
      <w:tr>
        <w:trPr>
          <w:cantSplit w:val="true"/>
        </w:trPr>
        <w:tc>
          <w:tcPr>
            <w:tcW w:type="dxa" w:w="567"/>
          </w:tcPr>
          <w:p>
            <w:pPr>
              <w:jc w:val="center"/>
            </w:pPr>
            <w:r/>
            <w:r>
              <w:rPr>
                <w:sz w:val="20"/>
              </w:rPr>
              <w:t>54</w:t>
            </w:r>
          </w:p>
        </w:tc>
        <w:tc>
          <w:tcPr>
            <w:tcW w:type="dxa" w:w="907"/>
          </w:tcPr>
          <w:p>
            <w:pPr>
              <w:jc w:val="center"/>
            </w:pPr>
            <w:r/>
            <w:r>
              <w:rPr>
                <w:sz w:val="20"/>
              </w:rPr>
              <w:t>237</w:t>
            </w:r>
          </w:p>
        </w:tc>
        <w:tc>
          <w:tcPr>
            <w:tcW w:type="dxa" w:w="1928"/>
          </w:tcPr>
          <w:p>
            <w:pPr>
              <w:jc w:val="left"/>
            </w:pPr>
            <w:r/>
            <w:r>
              <w:rPr>
                <w:sz w:val="20"/>
              </w:rPr>
              <w:t>раздел 17</w:t>
            </w:r>
          </w:p>
        </w:tc>
        <w:tc>
          <w:tcPr>
            <w:tcW w:type="dxa" w:w="4649"/>
          </w:tcPr>
          <w:p>
            <w:pPr>
              <w:jc w:val="left"/>
            </w:pPr>
            <w:r/>
            <w:r>
              <w:rPr>
                <w:sz w:val="20"/>
              </w:rPr>
              <w:t>Нельзя писать в декларации предписание утвердить эту же самую декларацию</w:t>
            </w:r>
          </w:p>
        </w:tc>
        <w:tc>
          <w:tcPr>
            <w:tcW w:type="dxa" w:w="7087"/>
          </w:tcPr>
          <w:p>
            <w:pPr>
              <w:jc w:val="left"/>
            </w:pPr>
            <w:r/>
            <w:r>
              <w:rPr>
                <w:sz w:val="20"/>
              </w:rPr>
              <w:t>Мероприятие по разработке и утверждению настоящей декларации исключено; перечень мер дополнен мерами по устранению дефектов, защите от несанкционированного вмешательства, аттестации персонала, комплексному обследованию ГТС (п. 15 ФНП), устранению повреждений землеройными животными (п. 19 ФНП), пробному маневрированию затворами, нивелированию, установке КИА и оповещению Ростехнадзора о частично работоспособном состоянии (п. 128 ФНП).</w:t>
            </w:r>
          </w:p>
        </w:tc>
      </w:tr>
      <w:tr>
        <w:trPr>
          <w:cantSplit w:val="true"/>
        </w:trPr>
        <w:tc>
          <w:tcPr>
            <w:tcW w:type="dxa" w:w="567"/>
          </w:tcPr>
          <w:p>
            <w:pPr>
              <w:jc w:val="center"/>
            </w:pPr>
            <w:r/>
            <w:r>
              <w:rPr>
                <w:sz w:val="20"/>
              </w:rPr>
              <w:t>55</w:t>
            </w:r>
          </w:p>
        </w:tc>
        <w:tc>
          <w:tcPr>
            <w:tcW w:type="dxa" w:w="907"/>
          </w:tcPr>
          <w:p>
            <w:pPr>
              <w:jc w:val="center"/>
            </w:pPr>
            <w:r/>
            <w:r>
              <w:rPr>
                <w:sz w:val="20"/>
              </w:rPr>
              <w:t>264</w:t>
            </w:r>
          </w:p>
        </w:tc>
        <w:tc>
          <w:tcPr>
            <w:tcW w:type="dxa" w:w="1928"/>
          </w:tcPr>
          <w:p>
            <w:pPr>
              <w:jc w:val="left"/>
            </w:pPr>
            <w:r/>
            <w:r>
              <w:rPr>
                <w:sz w:val="20"/>
              </w:rPr>
              <w:t>Сведения для регистра</w:t>
            </w:r>
          </w:p>
        </w:tc>
        <w:tc>
          <w:tcPr>
            <w:tcW w:type="dxa" w:w="4649"/>
          </w:tcPr>
          <w:p>
            <w:pPr>
              <w:jc w:val="left"/>
            </w:pPr>
            <w:r/>
            <w:r>
              <w:rPr>
                <w:sz w:val="20"/>
              </w:rPr>
              <w:t>Недействующий код</w:t>
            </w:r>
          </w:p>
        </w:tc>
        <w:tc>
          <w:tcPr>
            <w:tcW w:type="dxa" w:w="7087"/>
          </w:tcPr>
          <w:p>
            <w:pPr>
              <w:jc w:val="left"/>
            </w:pPr>
            <w:r/>
            <w:r>
              <w:rPr>
                <w:sz w:val="20"/>
              </w:rPr>
              <w:t>Недействующий код ОКТМО 94612422 (упразднённое Граховское сельское поселение) заменён кодом муниципального округа Граховский район – 94512000.</w:t>
            </w:r>
          </w:p>
        </w:tc>
      </w:tr>
      <w:tr>
        <w:trPr>
          <w:cantSplit w:val="true"/>
        </w:trPr>
        <w:tc>
          <w:tcPr>
            <w:tcW w:type="dxa" w:w="567"/>
          </w:tcPr>
          <w:p>
            <w:pPr>
              <w:jc w:val="center"/>
            </w:pPr>
            <w:r/>
            <w:r>
              <w:rPr>
                <w:sz w:val="20"/>
              </w:rPr>
              <w:t>56</w:t>
            </w:r>
          </w:p>
        </w:tc>
        <w:tc>
          <w:tcPr>
            <w:tcW w:type="dxa" w:w="907"/>
          </w:tcPr>
          <w:p>
            <w:pPr>
              <w:jc w:val="center"/>
            </w:pPr>
            <w:r/>
            <w:r>
              <w:rPr>
                <w:sz w:val="20"/>
              </w:rPr>
              <w:t>266</w:t>
            </w:r>
          </w:p>
        </w:tc>
        <w:tc>
          <w:tcPr>
            <w:tcW w:type="dxa" w:w="1928"/>
          </w:tcPr>
          <w:p>
            <w:pPr>
              <w:jc w:val="left"/>
            </w:pPr>
            <w:r/>
            <w:r>
              <w:rPr>
                <w:sz w:val="20"/>
              </w:rPr>
              <w:t>Сведения для регистра</w:t>
            </w:r>
          </w:p>
        </w:tc>
        <w:tc>
          <w:tcPr>
            <w:tcW w:type="dxa" w:w="4649"/>
          </w:tcPr>
          <w:p>
            <w:pPr>
              <w:jc w:val="left"/>
            </w:pPr>
            <w:r/>
            <w:r>
              <w:rPr>
                <w:sz w:val="20"/>
              </w:rPr>
              <w:t>В соответствии с полисом филиал СПАО…</w:t>
            </w:r>
          </w:p>
        </w:tc>
        <w:tc>
          <w:tcPr>
            <w:tcW w:type="dxa" w:w="7087"/>
          </w:tcPr>
          <w:p>
            <w:pPr>
              <w:jc w:val="left"/>
            </w:pPr>
            <w:r/>
            <w:r>
              <w:rPr>
                <w:sz w:val="20"/>
              </w:rPr>
              <w:t>Страховщик указан в соответствии с полисом – Филиал СПАО «Ингосстрах» в Удмуртской Республике; приведены ИНН и КПП страховщика, адреса страховщика и филиала, телефон.</w:t>
            </w:r>
          </w:p>
        </w:tc>
      </w:tr>
      <w:tr>
        <w:trPr>
          <w:cantSplit w:val="true"/>
        </w:trPr>
        <w:tc>
          <w:tcPr>
            <w:tcW w:type="dxa" w:w="567"/>
          </w:tcPr>
          <w:p>
            <w:pPr>
              <w:jc w:val="center"/>
            </w:pPr>
            <w:r/>
            <w:r>
              <w:rPr>
                <w:sz w:val="20"/>
              </w:rPr>
              <w:t>57</w:t>
            </w:r>
          </w:p>
        </w:tc>
        <w:tc>
          <w:tcPr>
            <w:tcW w:type="dxa" w:w="907"/>
          </w:tcPr>
          <w:p>
            <w:pPr>
              <w:jc w:val="center"/>
            </w:pPr>
            <w:r/>
            <w:r>
              <w:rPr>
                <w:sz w:val="20"/>
              </w:rPr>
              <w:t>267</w:t>
            </w:r>
          </w:p>
        </w:tc>
        <w:tc>
          <w:tcPr>
            <w:tcW w:type="dxa" w:w="1928"/>
          </w:tcPr>
          <w:p>
            <w:pPr>
              <w:jc w:val="left"/>
            </w:pPr>
            <w:r/>
            <w:r>
              <w:rPr>
                <w:sz w:val="20"/>
              </w:rPr>
              <w:t>Сведения для регистра</w:t>
            </w:r>
          </w:p>
        </w:tc>
        <w:tc>
          <w:tcPr>
            <w:tcW w:type="dxa" w:w="4649"/>
          </w:tcPr>
          <w:p>
            <w:pPr>
              <w:jc w:val="left"/>
            </w:pPr>
            <w:r/>
            <w:r>
              <w:rPr>
                <w:sz w:val="20"/>
              </w:rPr>
              <w:t>Уберите расчетные цифры, оставьте проектные. Регистр то, что есть сейчас не пропустит</w:t>
            </w:r>
          </w:p>
        </w:tc>
        <w:tc>
          <w:tcPr>
            <w:tcW w:type="dxa" w:w="7087"/>
          </w:tcPr>
          <w:p>
            <w:pPr>
              <w:jc w:val="left"/>
            </w:pPr>
            <w:r/>
            <w:r>
              <w:rPr>
                <w:sz w:val="20"/>
              </w:rPr>
              <w:t>Расчётное значение 29,36 м³/с исключено; приведены проектные значения.</w:t>
            </w:r>
          </w:p>
        </w:tc>
      </w:tr>
      <w:tr>
        <w:trPr>
          <w:cantSplit w:val="true"/>
        </w:trPr>
        <w:tc>
          <w:tcPr>
            <w:tcW w:type="dxa" w:w="567"/>
          </w:tcPr>
          <w:p>
            <w:pPr>
              <w:jc w:val="center"/>
            </w:pPr>
            <w:r/>
            <w:r>
              <w:rPr>
                <w:sz w:val="20"/>
              </w:rPr>
              <w:t>58</w:t>
            </w:r>
          </w:p>
        </w:tc>
        <w:tc>
          <w:tcPr>
            <w:tcW w:type="dxa" w:w="907"/>
          </w:tcPr>
          <w:p>
            <w:pPr>
              <w:jc w:val="center"/>
            </w:pPr>
            <w:r/>
            <w:r>
              <w:rPr>
                <w:sz w:val="20"/>
              </w:rPr>
              <w:t>268</w:t>
            </w:r>
          </w:p>
        </w:tc>
        <w:tc>
          <w:tcPr>
            <w:tcW w:type="dxa" w:w="1928"/>
          </w:tcPr>
          <w:p>
            <w:pPr>
              <w:jc w:val="left"/>
            </w:pPr>
            <w:r/>
            <w:r>
              <w:rPr>
                <w:sz w:val="20"/>
              </w:rPr>
              <w:t>Сведения для регистра</w:t>
            </w:r>
          </w:p>
        </w:tc>
        <w:tc>
          <w:tcPr>
            <w:tcW w:type="dxa" w:w="4649"/>
          </w:tcPr>
          <w:p>
            <w:pPr>
              <w:jc w:val="left"/>
            </w:pPr>
            <w:r/>
            <w:r>
              <w:rPr>
                <w:sz w:val="20"/>
              </w:rPr>
              <w:t>Уберите расчетные цифры, оставьте проектные. Регистр то, что есть сейчас не пропустит</w:t>
            </w:r>
          </w:p>
        </w:tc>
        <w:tc>
          <w:tcPr>
            <w:tcW w:type="dxa" w:w="7087"/>
          </w:tcPr>
          <w:p>
            <w:pPr>
              <w:jc w:val="left"/>
            </w:pPr>
            <w:r/>
            <w:r>
              <w:rPr>
                <w:sz w:val="20"/>
              </w:rPr>
              <w:t>Расчётное значение 66,4 м³/с исключено; приведены проектные значения.</w:t>
            </w:r>
          </w:p>
        </w:tc>
      </w:tr>
      <w:tr>
        <w:trPr>
          <w:cantSplit w:val="true"/>
        </w:trPr>
        <w:tc>
          <w:tcPr>
            <w:tcW w:type="dxa" w:w="567"/>
          </w:tcPr>
          <w:p>
            <w:pPr>
              <w:jc w:val="center"/>
            </w:pPr>
            <w:r/>
            <w:r>
              <w:rPr>
                <w:sz w:val="20"/>
              </w:rPr>
              <w:t>59</w:t>
            </w:r>
          </w:p>
        </w:tc>
        <w:tc>
          <w:tcPr>
            <w:tcW w:type="dxa" w:w="907"/>
          </w:tcPr>
          <w:p>
            <w:pPr>
              <w:jc w:val="center"/>
            </w:pPr>
            <w:r/>
            <w:r>
              <w:rPr>
                <w:sz w:val="20"/>
              </w:rPr>
              <w:t>274</w:t>
            </w:r>
          </w:p>
        </w:tc>
        <w:tc>
          <w:tcPr>
            <w:tcW w:type="dxa" w:w="1928"/>
          </w:tcPr>
          <w:p>
            <w:pPr>
              <w:jc w:val="left"/>
            </w:pPr>
            <w:r/>
            <w:r>
              <w:rPr>
                <w:sz w:val="20"/>
              </w:rPr>
              <w:t>приложение 20.3</w:t>
            </w:r>
          </w:p>
        </w:tc>
        <w:tc>
          <w:tcPr>
            <w:tcW w:type="dxa" w:w="4649"/>
          </w:tcPr>
          <w:p>
            <w:pPr>
              <w:jc w:val="left"/>
            </w:pPr>
            <w:r/>
            <w:r>
              <w:rPr>
                <w:sz w:val="20"/>
              </w:rPr>
              <w:t>Это все ненужно. Надо указать, что критерии приложены отдельной книгой</w:t>
            </w:r>
          </w:p>
        </w:tc>
        <w:tc>
          <w:tcPr>
            <w:tcW w:type="dxa" w:w="7087"/>
          </w:tcPr>
          <w:p>
            <w:pPr>
              <w:jc w:val="left"/>
            </w:pPr>
            <w:r/>
            <w:r>
              <w:rPr>
                <w:sz w:val="20"/>
              </w:rPr>
              <w:t>Текст исключён; указано, что критерии безопасности ГТС и пояснительная записка к ним представлены отдельной книгой.</w:t>
            </w:r>
          </w:p>
        </w:tc>
      </w:tr>
    </w:tbl>
    <w:p>
      <w:pPr>
        <w:spacing w:after="120"/>
      </w:pPr>
      <w:r>
        <w:rPr>
          <w:b w:val="0"/>
        </w:rPr>
      </w:r>
    </w:p>
    <w:p>
      <w:pPr>
        <w:spacing w:after="80"/>
      </w:pPr>
      <w:r>
        <w:rPr>
          <w:b/>
        </w:rPr>
        <w:t>Сведения, требующие подтверждения декларантом (выделены в тексте декларации жёлтым цветом либо приняты по имеющимся данным):</w:t>
      </w:r>
    </w:p>
    <w:p>
      <w:pPr>
        <w:spacing w:after="0"/>
        <w:ind w:firstLine="425"/>
        <w:jc w:val="both"/>
      </w:pPr>
      <w:r>
        <w:rPr>
          <w:b w:val="0"/>
        </w:rPr>
        <w:t>1. П. 10.3 – отсутствие предписаний Западно-Уральского управления Ростехнадзора и ГУ МЧС России по Удмуртской Республике за междекларационный период (выделено).</w:t>
      </w:r>
    </w:p>
    <w:p>
      <w:pPr>
        <w:spacing w:after="0"/>
        <w:ind w:firstLine="425"/>
        <w:jc w:val="both"/>
      </w:pPr>
      <w:r>
        <w:rPr>
          <w:b w:val="0"/>
        </w:rPr>
        <w:t>2. П. 10.5, подпункт 33.16 – комплексное обследование ГТС с оценкой прочности и устойчивости не проводилось (выделено); подпункт 33.17 – наличие актов предпаводковых комиссионных осмотров (выделено). Сведения по подпунктам 33.3 (паспорта механического оборудования), 33.6 (правила использования водных ресурсов) и 33.11 (должностные и производственные инструкции) в исходных материалах отсутствуют – при наличии документов их следует добавить в перечень.</w:t>
      </w:r>
    </w:p>
    <w:p>
      <w:pPr>
        <w:spacing w:after="0"/>
        <w:ind w:firstLine="425"/>
        <w:jc w:val="both"/>
      </w:pPr>
      <w:r>
        <w:rPr>
          <w:b w:val="0"/>
        </w:rPr>
        <w:t>3. Пункт 17 – сроки новых мероприятий 9, 13, 14, 16–20 (выделены); срок мероприятия 21 – «незамедлительно», если оповещение Ростехнадзора о частично работоспособном состоянии ещё не направлялось.</w:t>
      </w:r>
    </w:p>
    <w:p>
      <w:pPr>
        <w:spacing w:after="0"/>
        <w:ind w:firstLine="425"/>
        <w:jc w:val="both"/>
      </w:pPr>
      <w:r>
        <w:rPr>
          <w:b w:val="0"/>
        </w:rPr>
        <w:t>4. Таблица 6, п. 6.5 – в исходной редакции отмечено «Выполнено (15.11.2024)»; приведено в соответствие с пп. 13.1, 14 и актом ПДО («Не выполнено»). Если документ от 15.11.2024 существует, указать его реквизиты.</w:t>
      </w:r>
    </w:p>
    <w:p>
      <w:pPr>
        <w:spacing w:after="0"/>
        <w:ind w:firstLine="425"/>
        <w:jc w:val="both"/>
      </w:pPr>
      <w:r>
        <w:rPr>
          <w:b w:val="0"/>
        </w:rPr>
        <w:t>5. Критерии безопасности (приложение 20.3, отдельная книга) необходимо привести в соответствие с таблицами 9 и 10 декларации (новые значения К1 и К2, в т. ч. К2 по откосам 1:1,5, по отметкам днищ – осадка 0,05/0,10 м, показатель 1.8) и дополнить обоснованием (примечание 4 к таблице 9).</w:t>
      </w:r>
    </w:p>
    <w:p>
      <w:pPr>
        <w:spacing w:after="0"/>
        <w:ind w:firstLine="425"/>
        <w:jc w:val="both"/>
      </w:pPr>
      <w:r>
        <w:rPr>
          <w:b w:val="0"/>
        </w:rPr>
        <w:t>6. Вероятность аварии (1,93×10⁻³ 1/год) получена по ГОСТ Р 22.2.09-2015 при показателе уязвимости «Состояние сооружения» – «отсутствие превышения предельно допустимых значений»; с учётом превышения К1 по семи показателям исходные данные расчёта рекомендуется пересмотреть – это может повлиять на вывод п. 12.7. Значение для сценария С2 (1,35×10⁻⁶) содержит арифметическую неточность в исходном расчёте (0,5 × 0,000434 = 2,17×10⁻⁴); вывод о соответствии допускаемому значению при этом не меняется.</w:t>
      </w:r>
    </w:p>
    <w:p>
      <w:pPr>
        <w:spacing w:after="0"/>
        <w:ind w:firstLine="425"/>
        <w:jc w:val="both"/>
      </w:pPr>
      <w:r>
        <w:rPr>
          <w:b w:val="0"/>
        </w:rPr>
        <w:t>7. Расчёт вероятного вреда (приложение 20.4): сумма площадей зон в таблице 14 (0,012 + 0,029 + 0,185 = 0,226 км²) не совпадает с итогом 0,214 км²; исходные данные волны прорыва (площадь зеркала 0,470 млн м², глубина 5,0 м) расходятся с п. 9.4 – требуется сверка с отдельной книгой расчёта.</w:t>
      </w:r>
    </w:p>
    <w:p>
      <w:pPr>
        <w:spacing w:after="0"/>
        <w:ind w:firstLine="425"/>
        <w:jc w:val="both"/>
      </w:pPr>
      <w:r>
        <w:rPr>
          <w:b w:val="0"/>
        </w:rPr>
        <w:t>8. П. 14.5 – результаты учений 18.09.2025 (вид, участники, оценка) в исходных материалах отсутствуют; при наличии отчёта об учениях – дополнить.</w:t>
      </w:r>
    </w:p>
    <w:p>
      <w:pPr>
        <w:spacing w:after="0"/>
        <w:ind w:firstLine="425"/>
        <w:jc w:val="both"/>
      </w:pPr>
      <w:r>
        <w:rPr>
          <w:b w:val="0"/>
        </w:rPr>
        <w:t>9. Сведения для регистра: ОКТМО 94512000 (муниципальный округ Граховский район) вместо недействующего 94612422; 11-значный код ОКТМО с. Заречный декларанту следует уточнить по действующему классификатору.</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