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№20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12»  в лице директора Гаврюшиной Любви Сергеевны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12»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171164,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Северная, д.7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20016ZШ2940,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6908006008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54554835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Л.С. Гаврюшина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20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12»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