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 xml:space="preserve">Договор №19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 </w:t>
      </w:r>
      <w:r>
        <w:rPr>
          <w:position w:val="0"/>
          <w:sz w:val="24"/>
          <w:sz w:val="24"/>
          <w:vertAlign w:val="baseline"/>
        </w:rPr>
        <w:t xml:space="preserve">«Академическая средняя общеобразовательная школа»  в лице директора Куракиной Ольги Алексеевны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138 933,90(сто тридцать восемь тысяч девятьсот тридцать три рубля 90 копеек)   в качестве оплаты стоимости питания детей из нуждающихся в социальной поддержки семей, обучающихся у Исполнителя, в количестве 42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73,51 рублей в учебный день на одного обучающегося 1-х – 11-х классов, количество дней - 45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заключения договора: 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tbl>
      <w:tblPr>
        <w:tblStyle w:val="a4"/>
        <w:tblW w:w="106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6"/>
        <w:gridCol w:w="5348"/>
      </w:tblGrid>
      <w:tr>
        <w:trPr>
          <w:trHeight w:val="4880" w:hRule="atLeast"/>
        </w:trPr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«______» ___________________ 2025 г.</w:t>
            </w:r>
          </w:p>
        </w:tc>
        <w:tc>
          <w:tcPr>
            <w:tcW w:w="53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МБОУ «Академическая СОШ»</w:t>
            </w:r>
          </w:p>
          <w:p>
            <w:pPr>
              <w:pStyle w:val="Heading1"/>
              <w:widowControl w:val="false"/>
              <w:spacing w:before="0" w:after="0"/>
              <w:jc w:val="both"/>
              <w:rPr>
                <w:rFonts w:ascii="Times New Roman" w:hAnsi="Times New Roman" w:eastAsia="Calibri"/>
                <w:color w:val="auto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Calibri" w:ascii="Times New Roman" w:hAnsi="Times New Roman"/>
                <w:color w:val="auto"/>
                <w:position w:val="0"/>
                <w:sz w:val="22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Место нахождения: 171105,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Тверская область, Вышневолоцкий район, п. Академический, ул. Октябрьская, д.19А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БИК: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л/с 20016ZШ0280, 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ИНН 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6920006572 / КПП 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left"/>
              <w:rPr/>
            </w:pP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ОКОПФ: 72</w:t>
              <w:br/>
              <w:t xml:space="preserve">ОКВЭД: 85.14</w:t>
              <w:br/>
              <w:t xml:space="preserve">ОКТМО: 28714000</w:t>
              <w:br/>
              <w:t xml:space="preserve">ОКПО: 40736490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2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О.А. Куракина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19 от «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учреждение,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«Академическая средняя общеобразовательная школа»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138 933,90(сто тридцать восемь тысяч девятьсот тридцать три рубля 90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877AD-BCCB-4CFD-8BB6-ED92505C6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Application>LibreOffice/24.8.4.1$Linux_X86_64 LibreOffice_project/480$Build-1</Application>
  <AppVersion>15.0000</AppVersion>
  <Pages>3</Pages>
  <Words>813</Words>
  <Characters>6231</Characters>
  <CharactersWithSpaces>7125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2024-01-11T09:14:00Z</cp:lastPrinted>
  <dcterms:modified xsi:type="dcterms:W3CDTF">2025-09-24T13:28:13Z</dcterms:modified>
  <cp:revision>68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