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№16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19»  в лице директора  </w:t>
      </w:r>
      <w:r>
        <w:rPr>
          <w:sz w:val="24"/>
        </w:rPr>
        <w:t>Ворониной Светланы Викторовны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2319975.60(два миллиона триста девятнадцать тысяч девятьсот семьдесят пять рубля 60 копейки)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789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СОШ № 19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171159, Тверская обл., г. Вышний Волочек, ул. Шмидта, д. 194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Финансовое управление  Администрации Вышневолоцкого муниципального округа  л/с 20016ZШ1200)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6908006390/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54554545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__________/С.В. Воронина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16 от  «    »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19»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2319975.60(два миллиона триста девятнадцать тысяч девятьсот семьдесят пять рубля 60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763E-D6AF-49EB-8887-1F9B65B1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LibreOffice/24.8.4.1$Linux_X86_64 LibreOffice_project/480$Build-1</Application>
  <AppVersion>15.0000</AppVersion>
  <Pages>6</Pages>
  <Words>981</Words>
  <Characters>7395</Characters>
  <CharactersWithSpaces>8505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2025-01-28T09:01:00Z</cp:lastPrinted>
  <dcterms:modified xsi:type="dcterms:W3CDTF">2025-09-18T14:56:36Z</dcterms:modified>
  <cp:revision>60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