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123496.80(сто двадцать три тысячи четыреста девяносто шесть копеек 8)   в качестве оплаты стоимости питания детей из нуждающихся в социальной поддержки семей, обучающихся у Исполнителя, в количестве 42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123496.80(сто двадцать три тысячи четыреста девяносто шесть копеек 8)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