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hAnsi="Arial"/>
          <w:b/>
          <w:bCs/>
          <w:color w:val="1F3A5F"/>
          <w:sz w:val="44"/>
          <w:szCs w:val="44"/>
          <w:lang w:val="fr-FR"/>
        </w:rPr>
        <w:t>Rapport de Ventes Trimestriel</w:t>
      </w:r>
    </w:p>
    <w:p>
      <w:pPr>
        <w:spacing w:after="200"/>
        <w:jc w:val="center"/>
      </w:pPr>
      <w:r>
        <w:rPr>
          <w:rFonts w:ascii="Arial" w:hAnsi="Arial"/>
          <w:color w:val="808080"/>
          <w:sz w:val="20"/>
          <w:szCs w:val="20"/>
          <w:lang w:val="fr-FR"/>
        </w:rPr>
        <w:t>T3 2026 | Préparé par : Équipe des Ventes</w:t>
      </w:r>
    </w:p>
    <w:p>
      <w:pPr>
        <w:pStyle w:val="Heading2"/>
        <w:spacing w:after="100" w:before="180"/>
      </w:pPr>
      <w:r>
        <w:rPr>
          <w:rFonts w:ascii="Arial" w:hAnsi="Arial"/>
          <w:b/>
          <w:bCs/>
          <w:color w:val="1F3A5F"/>
          <w:sz w:val="28"/>
          <w:szCs w:val="28"/>
          <w:lang w:val="fr-FR"/>
        </w:rPr>
        <w:t>1. Résumé</w:t>
      </w:r>
    </w:p>
    <w:p>
      <w:pPr>
        <w:spacing w:line="300"/>
      </w:pPr>
      <w:r>
        <w:rPr>
          <w:rFonts w:ascii="Arial" w:hAnsi="Arial"/>
          <w:b/>
          <w:bCs/>
          <w:sz w:val="21"/>
          <w:szCs w:val="21"/>
          <w:lang w:val="fr-FR"/>
        </w:rPr>
        <w:t>Ce trimestre, l'entreprise a réalisé un chiffre d'affaires total de Rs. 48,6 lakh , ce qui est 12% supérieur au trimestre précédent. La région Nord a obtenu les meilleurs résultats, tandis que la région Est nécessite plus d'attention.</w:t>
      </w:r>
    </w:p>
    <w:p>
      <w:pPr>
        <w:pStyle w:val="Heading2"/>
        <w:spacing w:after="100" w:before="180"/>
      </w:pPr>
      <w:r>
        <w:rPr>
          <w:rFonts w:ascii="Arial" w:hAnsi="Arial"/>
          <w:b/>
          <w:bCs/>
          <w:color w:val="1F3A5F"/>
          <w:sz w:val="28"/>
          <w:szCs w:val="28"/>
          <w:lang w:val="fr-FR"/>
        </w:rPr>
        <w:t>2. Points Clés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1"/>
          <w:szCs w:val="21"/>
          <w:lang w:val="fr-FR"/>
        </w:rPr>
        <w:t xml:space="preserve">Les nouveaux clients ont augmenté de </w:t>
      </w:r>
      <w:r>
        <w:rPr>
          <w:rFonts w:ascii="Arial" w:hAnsi="Arial"/>
          <w:b/>
          <w:bCs/>
          <w:sz w:val="21"/>
          <w:szCs w:val="21"/>
          <w:lang w:val="fr-FR"/>
        </w:rPr>
        <w:t>18%</w:t>
      </w:r>
      <w:r>
        <w:rPr>
          <w:rFonts w:ascii="Arial" w:hAnsi="Arial"/>
          <w:sz w:val="21"/>
          <w:szCs w:val="21"/>
          <w:lang w:val="fr-FR"/>
        </w:rPr>
        <w:t xml:space="preserve"> .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1"/>
          <w:szCs w:val="21"/>
          <w:lang w:val="fr-FR"/>
        </w:rPr>
        <w:t>Les ventes en ligne ont contribué à plus de la moitié du chiffre d'affaires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1"/>
          <w:szCs w:val="21"/>
          <w:lang w:val="fr-FR"/>
        </w:rPr>
        <w:t>Deux nouveaux produits ont été lancés avec succès.</w:t>
      </w:r>
    </w:p>
    <w:p>
      <w:pPr>
        <w:pStyle w:val="Heading2"/>
        <w:spacing w:after="100" w:before="180"/>
      </w:pPr>
      <w:r>
        <w:rPr>
          <w:rFonts w:ascii="Arial" w:hAnsi="Arial"/>
          <w:b/>
          <w:bCs/>
          <w:color w:val="1F3A5F"/>
          <w:sz w:val="28"/>
          <w:szCs w:val="28"/>
          <w:lang w:val="fr-FR"/>
        </w:rPr>
        <w:t>3. Performance par région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540"/>
        <w:gridCol w:w="2540"/>
        <w:gridCol w:w="1980"/>
      </w:tblGrid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  <w:lang w:val="fr-FR"/>
              </w:rPr>
              <w:t>Région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  <w:lang w:val="fr-FR"/>
              </w:rPr>
              <w:t>Revenu T2 (Rs. lakh)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  <w:lang w:val="fr-FR"/>
              </w:rPr>
              <w:t>Revenu T3 (Rs. lakh)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  <w:lang w:val="fr-FR"/>
              </w:rPr>
              <w:t>Croissance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Nord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13.2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15.8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+19.7%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Sud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11.5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12.9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+12.2%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Ouest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9.8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10.6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+8.2%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Est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8.9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9.3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+4.5%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  <w:lang w:val="fr-FR"/>
              </w:rPr>
              <w:t>Total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  <w:lang w:val="fr-FR"/>
              </w:rPr>
              <w:t>43.4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  <w:lang w:val="fr-FR"/>
              </w:rPr>
              <w:t>48.6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  <w:lang w:val="fr-FR"/>
              </w:rPr>
              <w:t>+12.0%</w:t>
            </w:r>
          </w:p>
        </w:tc>
      </w:tr>
    </w:tbl>
    <w:p>
      <w:pPr>
        <w:pStyle w:val="Heading2"/>
        <w:spacing w:after="100" w:before="180"/>
      </w:pPr>
      <w:r>
        <w:rPr>
          <w:rFonts w:ascii="Arial" w:hAnsi="Arial"/>
          <w:b/>
          <w:bCs/>
          <w:color w:val="1F3A5F"/>
          <w:sz w:val="28"/>
          <w:szCs w:val="28"/>
          <w:lang w:val="fr-FR"/>
        </w:rPr>
        <w:t>4. Prochaines étapes</w:t>
      </w:r>
    </w:p>
    <w:p>
      <w:pPr>
        <w:spacing w:line="300"/>
      </w:pPr>
      <w:r>
        <w:rPr>
          <w:rFonts w:ascii="Arial" w:hAnsi="Arial"/>
          <w:b/>
          <w:bCs/>
          <w:sz w:val="21"/>
          <w:szCs w:val="21"/>
          <w:lang w:val="fr-FR"/>
        </w:rPr>
        <w:t>Le prochain trimestre, l'accent sera mis sur l'amélioration des ventes dans la région Est grâce au marketing local et à un meilleur soutien des distributeurs. L'objectif global pour le T4 est Rs. 52 lakh .</w:t>
      </w:r>
    </w:p>
    <w:sectPr>
      <w:pgSz w:w="11906" w:h="16838" w:orient="portrait"/>
      <w:pgMar w:top="1000" w:right="1130" w:bottom="100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itch w:val="variable"/>
    <w:family w:val="swiss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themeFontLang w:val="fr-F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2026-10-15T05:13:39.421Z</dcterms:created>
  <dcterms:modified xsi:type="dcterms:W3CDTF">2026-10-15T05:13:39.426Z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