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B3EF" w14:textId="77777777" w:rsidR="001658CD" w:rsidRPr="00606BE9" w:rsidRDefault="00000000">
      <w:pPr>
        <w:jc w:val="center"/>
        <w:rPr>
          <w:rFonts w:ascii="Palatino" w:hAnsi="Palatino"/>
        </w:rPr>
      </w:pPr>
      <w:r w:rsidRPr="00606BE9">
        <w:rPr>
          <w:rFonts w:ascii="Palatino" w:hAnsi="Palatino"/>
          <w:b/>
          <w:sz w:val="28"/>
        </w:rPr>
        <w:t>Standard Operating Procedure: Hemp-Derived Product Manufacturing Compliance</w:t>
      </w:r>
    </w:p>
    <w:p w14:paraId="4F608501" w14:textId="77777777" w:rsidR="001658CD" w:rsidRPr="00606BE9" w:rsidRDefault="00000000">
      <w:pPr>
        <w:jc w:val="center"/>
        <w:rPr>
          <w:rFonts w:ascii="Palatino" w:hAnsi="Palatino"/>
        </w:rPr>
      </w:pPr>
      <w:r w:rsidRPr="00606BE9">
        <w:rPr>
          <w:rFonts w:ascii="Palatino" w:hAnsi="Palatino"/>
          <w:b/>
          <w:i/>
        </w:rPr>
        <w:t>[RECOMMENDATION FROM OTHER STATES]</w:t>
      </w:r>
    </w:p>
    <w:p w14:paraId="2FD20684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</w:rPr>
        <w:t>1.</w:t>
      </w:r>
      <w:r w:rsidRPr="00606BE9">
        <w:rPr>
          <w:rFonts w:ascii="Palatino" w:hAnsi="Palatino"/>
          <w:b/>
        </w:rPr>
        <w:tab/>
        <w:t>Purpose</w:t>
      </w:r>
    </w:p>
    <w:p w14:paraId="2750CB13" w14:textId="77777777" w:rsidR="001658CD" w:rsidRDefault="00000000">
      <w:r>
        <w:t>To establish procedures for manufacturing hemp-derived products in compliance with state regulations, based on Colorado's Hemp Safe Harbor regulations and Kentucky's Hemp-Derived Cannabinoid Product requirements.</w:t>
      </w:r>
    </w:p>
    <w:p w14:paraId="618B5890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</w:rPr>
        <w:t>2.</w:t>
      </w:r>
      <w:r w:rsidRPr="00606BE9">
        <w:rPr>
          <w:rFonts w:ascii="Palatino" w:hAnsi="Palatino"/>
          <w:b/>
        </w:rPr>
        <w:tab/>
        <w:t>Scope</w:t>
      </w:r>
    </w:p>
    <w:p w14:paraId="39D18326" w14:textId="77777777" w:rsidR="001658CD" w:rsidRDefault="00000000">
      <w:r>
        <w:t>This SOP applies to hemp processors and manufacturers producing hemp-derived products including CBD products, hemp foods, and other hemp derivatives.</w:t>
      </w:r>
    </w:p>
    <w:p w14:paraId="35A125CB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</w:rPr>
        <w:t>3.</w:t>
      </w:r>
      <w:r w:rsidRPr="00606BE9">
        <w:rPr>
          <w:rFonts w:ascii="Palatino" w:hAnsi="Palatino"/>
          <w:b/>
        </w:rPr>
        <w:tab/>
        <w:t>Prerequisites</w:t>
      </w:r>
    </w:p>
    <w:p w14:paraId="0233A030" w14:textId="77777777" w:rsidR="001658CD" w:rsidRDefault="00000000">
      <w:r>
        <w:t>Required prerequisites:</w:t>
      </w:r>
      <w:r>
        <w:br/>
        <w:t>• Appropriate processing/manufacturing license</w:t>
      </w:r>
      <w:r>
        <w:br/>
        <w:t>• Understanding of applicable state regulations</w:t>
      </w:r>
      <w:r>
        <w:br/>
        <w:t>• GMP compliance capability</w:t>
      </w:r>
      <w:r>
        <w:br/>
        <w:t>• Laboratory testing relationship</w:t>
      </w:r>
      <w:r>
        <w:br/>
        <w:t>• Labeling and packaging compliance knowledge</w:t>
      </w:r>
    </w:p>
    <w:p w14:paraId="1194F0D6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</w:rPr>
        <w:t>4.</w:t>
      </w:r>
      <w:r w:rsidRPr="00606BE9">
        <w:rPr>
          <w:rFonts w:ascii="Palatino" w:hAnsi="Palatino"/>
          <w:b/>
        </w:rPr>
        <w:tab/>
        <w:t>Responsibilities</w:t>
      </w:r>
    </w:p>
    <w:p w14:paraId="19E7F958" w14:textId="77777777" w:rsidR="001658CD" w:rsidRDefault="00000000">
      <w:r>
        <w:t>Key personnel with primary roles:</w:t>
      </w:r>
      <w:r>
        <w:br/>
        <w:t>• Facility Owner: Obtain required registrations; ensure compliance</w:t>
      </w:r>
      <w:r>
        <w:br/>
        <w:t>• Quality Manager: Oversee GMP compliance; manage testing</w:t>
      </w:r>
      <w:r>
        <w:br/>
        <w:t>• Production Manager: Implement compliant processes</w:t>
      </w:r>
      <w:r>
        <w:br/>
        <w:t>• Labeling/Packaging: Ensure label compliance</w:t>
      </w:r>
    </w:p>
    <w:p w14:paraId="735566E7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</w:rPr>
        <w:t>5.</w:t>
      </w:r>
      <w:r w:rsidRPr="00606BE9">
        <w:rPr>
          <w:rFonts w:ascii="Palatino" w:hAnsi="Palatino"/>
          <w:b/>
        </w:rPr>
        <w:tab/>
        <w:t>Materials</w:t>
      </w:r>
    </w:p>
    <w:p w14:paraId="2E59A621" w14:textId="77777777" w:rsidR="001658CD" w:rsidRDefault="00000000">
      <w:r>
        <w:t>Required materials:</w:t>
      </w:r>
      <w:r>
        <w:br/>
        <w:t>• State registration documentation</w:t>
      </w:r>
      <w:r>
        <w:br/>
        <w:t>• GMP compliance documentation</w:t>
      </w:r>
      <w:r>
        <w:br/>
        <w:t>• Laboratory COAs for all products</w:t>
      </w:r>
      <w:r>
        <w:br/>
        <w:t>• Label templates meeting requirements</w:t>
      </w:r>
      <w:r>
        <w:br/>
        <w:t>• Product specifications</w:t>
      </w:r>
    </w:p>
    <w:p w14:paraId="4046FD5B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</w:rPr>
        <w:lastRenderedPageBreak/>
        <w:t>6.</w:t>
      </w:r>
      <w:r w:rsidRPr="00606BE9">
        <w:rPr>
          <w:rFonts w:ascii="Palatino" w:hAnsi="Palatino"/>
          <w:b/>
        </w:rPr>
        <w:tab/>
        <w:t>Procedure</w:t>
      </w:r>
    </w:p>
    <w:p w14:paraId="7E725CD4" w14:textId="77777777" w:rsidR="001658CD" w:rsidRDefault="00000000">
      <w:r>
        <w:t>6.1 Registration Requirements (Colorado Model)</w:t>
      </w:r>
      <w:r>
        <w:br/>
        <w:t xml:space="preserve">   a. Hemp product manufacturers require annual registration</w:t>
      </w:r>
      <w:r>
        <w:br/>
        <w:t xml:space="preserve">   b. Submit application to appropriate agency</w:t>
      </w:r>
      <w:r>
        <w:br/>
        <w:t xml:space="preserve">   c. Pay applicable fees</w:t>
      </w:r>
      <w:r>
        <w:br/>
        <w:t xml:space="preserve">   d. Registration is location and owner specific</w:t>
      </w:r>
      <w:r>
        <w:br/>
        <w:t xml:space="preserve">   e. Not transferable</w:t>
      </w:r>
      <w:r>
        <w:br/>
        <w:t xml:space="preserve">   f. Renew annually</w:t>
      </w:r>
      <w:r>
        <w:br/>
      </w:r>
      <w:r>
        <w:br/>
        <w:t>6.2 cGMP Compliance (Colorado Requirement)</w:t>
      </w:r>
      <w:r>
        <w:br/>
        <w:t xml:space="preserve">   • Must demonstrate FDA cGMP compliance:</w:t>
      </w:r>
      <w:r>
        <w:br/>
        <w:t xml:space="preserve">     - For food products: 21 CFR Part 110/117</w:t>
      </w:r>
      <w:r>
        <w:br/>
        <w:t xml:space="preserve">     - For dietary supplements: 21 CFR Part 111</w:t>
      </w:r>
      <w:r>
        <w:br/>
        <w:t xml:space="preserve">   • Options for demonstrating compliance:</w:t>
      </w:r>
      <w:r>
        <w:br/>
        <w:t xml:space="preserve">     - Third-party cGMP audit from approved auditor</w:t>
      </w:r>
      <w:r>
        <w:br/>
        <w:t xml:space="preserve">     - Within 12 months of registration</w:t>
      </w:r>
      <w:r>
        <w:br/>
        <w:t xml:space="preserve">     - Annual audit thereafter</w:t>
      </w:r>
      <w:r>
        <w:br/>
        <w:t xml:space="preserve">   • Maintain audit documentation</w:t>
      </w:r>
      <w:r>
        <w:br/>
      </w:r>
      <w:r>
        <w:br/>
        <w:t>6.3 Product Requirements</w:t>
      </w:r>
      <w:r>
        <w:br/>
        <w:t xml:space="preserve">   a. Only naturally occurring cannabinoids permitted</w:t>
      </w:r>
      <w:r>
        <w:br/>
        <w:t xml:space="preserve">   b. Chemically converted cannabinoids prohibited (Colorado)</w:t>
      </w:r>
      <w:r>
        <w:br/>
        <w:t xml:space="preserve">   c. THC must not exceed 0.3%</w:t>
      </w:r>
      <w:r>
        <w:br/>
        <w:t xml:space="preserve">   d. Document cannabinoid sources</w:t>
      </w:r>
      <w:r>
        <w:br/>
        <w:t xml:space="preserve">   e. Maintain traceability to source hemp</w:t>
      </w:r>
      <w:r>
        <w:br/>
      </w:r>
      <w:r>
        <w:br/>
        <w:t>6.4 Labeling Requirements (Colorado/Kentucky)</w:t>
      </w:r>
      <w:r>
        <w:br/>
        <w:t xml:space="preserve">   Labels must include:</w:t>
      </w:r>
      <w:r>
        <w:br/>
        <w:t xml:space="preserve">   a. THC and CBD content per serving (milligrams)</w:t>
      </w:r>
      <w:r>
        <w:br/>
        <w:t xml:space="preserve">   b. THC and CBD content per package</w:t>
      </w:r>
      <w:r>
        <w:br/>
        <w:t xml:space="preserve">   c. Batch number</w:t>
      </w:r>
      <w:r>
        <w:br/>
        <w:t xml:space="preserve">   d. Lab report QR code or COA link</w:t>
      </w:r>
      <w:r>
        <w:br/>
        <w:t xml:space="preserve">   e. Required warnings</w:t>
      </w:r>
      <w:r>
        <w:br/>
        <w:t xml:space="preserve">   f. Not designed to appeal to children</w:t>
      </w:r>
      <w:r>
        <w:br/>
        <w:t xml:space="preserve">   g. No cartoon characters or child-appealing imagery</w:t>
      </w:r>
      <w:r>
        <w:br/>
      </w:r>
      <w:r>
        <w:br/>
      </w:r>
      <w:r>
        <w:lastRenderedPageBreak/>
        <w:t>6.5 Testing Requirements</w:t>
      </w:r>
      <w:r>
        <w:br/>
        <w:t xml:space="preserve">   a. Test finished products for:</w:t>
      </w:r>
      <w:r>
        <w:br/>
        <w:t xml:space="preserve">      • Cannabinoid potency</w:t>
      </w:r>
      <w:r>
        <w:br/>
        <w:t xml:space="preserve">      • Contaminants (pesticides, heavy metals, etc.)</w:t>
      </w:r>
      <w:r>
        <w:br/>
        <w:t xml:space="preserve">   b. Use certified laboratory</w:t>
      </w:r>
      <w:r>
        <w:br/>
        <w:t xml:space="preserve">   c. Obtain COA for each batch</w:t>
      </w:r>
      <w:r>
        <w:br/>
        <w:t xml:space="preserve">   d. Report exceedances within 48 hours (Colorado)</w:t>
      </w:r>
      <w:r>
        <w:br/>
        <w:t xml:space="preserve">   e. Retain COAs for all products</w:t>
      </w:r>
      <w:r>
        <w:br/>
      </w:r>
      <w:r>
        <w:br/>
        <w:t>6.6 Product Registry (Kentucky Model)</w:t>
      </w:r>
      <w:r>
        <w:br/>
        <w:t xml:space="preserve">   • Some states require product registration</w:t>
      </w:r>
      <w:r>
        <w:br/>
        <w:t xml:space="preserve">   • Products must be listed on approved registry</w:t>
      </w:r>
      <w:r>
        <w:br/>
        <w:t xml:space="preserve">   • Registration before sale</w:t>
      </w:r>
      <w:r>
        <w:br/>
        <w:t xml:space="preserve">   • Annual renewal</w:t>
      </w:r>
      <w:r>
        <w:br/>
        <w:t xml:space="preserve">   • Keep registration documentation</w:t>
      </w:r>
      <w:r>
        <w:br/>
      </w:r>
      <w:r>
        <w:br/>
        <w:t>6.7 Ratio Requirements (If Applicable)</w:t>
      </w:r>
      <w:r>
        <w:br/>
        <w:t xml:space="preserve">   Some states require CBD:THC ratios:</w:t>
      </w:r>
      <w:r>
        <w:br/>
        <w:t xml:space="preserve">   • Colorado: Specific ratio requirements for Safe Harbor</w:t>
      </w:r>
      <w:r>
        <w:br/>
        <w:t xml:space="preserve">   • Kentucky: 15:1 CBD:THC for general sale (≤2.5mg THC/serving)</w:t>
      </w:r>
      <w:r>
        <w:br/>
        <w:t xml:space="preserve">   • Know your state's requirements</w:t>
      </w:r>
      <w:r>
        <w:br/>
        <w:t xml:space="preserve">   • Verify formulations meet ratios</w:t>
      </w:r>
      <w:r>
        <w:br/>
      </w:r>
      <w:r>
        <w:br/>
        <w:t>6.8 Record Keeping</w:t>
      </w:r>
      <w:r>
        <w:br/>
        <w:t xml:space="preserve">   a. Registration and license documents</w:t>
      </w:r>
      <w:r>
        <w:br/>
        <w:t xml:space="preserve">   b. cGMP audit reports</w:t>
      </w:r>
      <w:r>
        <w:br/>
        <w:t xml:space="preserve">   c. Product formulations</w:t>
      </w:r>
      <w:r>
        <w:br/>
        <w:t xml:space="preserve">   d. Batch records</w:t>
      </w:r>
      <w:r>
        <w:br/>
        <w:t xml:space="preserve">   e. Testing COAs</w:t>
      </w:r>
      <w:r>
        <w:br/>
        <w:t xml:space="preserve">   f. Label approvals</w:t>
      </w:r>
      <w:r>
        <w:br/>
        <w:t xml:space="preserve">   g. Retain minimum 3 years</w:t>
      </w:r>
      <w:r>
        <w:br/>
      </w:r>
      <w:r>
        <w:br/>
        <w:t>6.9 Out-of-State Considerations</w:t>
      </w:r>
      <w:r>
        <w:br/>
        <w:t xml:space="preserve">   • Different states have different requirements</w:t>
      </w:r>
      <w:r>
        <w:br/>
        <w:t xml:space="preserve">   • Some states require proof of equivalent regulations</w:t>
      </w:r>
      <w:r>
        <w:br/>
        <w:t xml:space="preserve">   • May need separate registrations by state</w:t>
      </w:r>
      <w:r>
        <w:br/>
        <w:t xml:space="preserve">   • Research requirements before selling in other states</w:t>
      </w:r>
    </w:p>
    <w:p w14:paraId="046029E1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</w:rPr>
        <w:lastRenderedPageBreak/>
        <w:t>7.</w:t>
      </w:r>
      <w:r w:rsidRPr="00606BE9">
        <w:rPr>
          <w:rFonts w:ascii="Palatino" w:hAnsi="Palatino"/>
          <w:b/>
        </w:rPr>
        <w:tab/>
        <w:t>References</w:t>
      </w:r>
    </w:p>
    <w:p w14:paraId="78334FC3" w14:textId="77777777" w:rsidR="001658CD" w:rsidRDefault="00000000">
      <w:r>
        <w:t>• Colorado Hemp Program: https://ag.colorado.gov/plants/hemp</w:t>
      </w:r>
      <w:r>
        <w:br/>
        <w:t>• Colorado CDPHE Hemp in Food: https://cdphe.colorado.gov/dehs/hemp-food</w:t>
      </w:r>
      <w:r>
        <w:br/>
        <w:t>• Colorado Safe Harbor Regulations 6 CCR 1010-24: https://www.sos.state.co.us/CCR/</w:t>
      </w:r>
      <w:r>
        <w:br/>
        <w:t>• Kentucky Hemp-Derived Cannabinoid Products: https://www.chfs.ky.gov/agencies/dph/dphps/fsb/Pages/HDCP.aspx</w:t>
      </w:r>
      <w:r>
        <w:br/>
        <w:t>• FDA cGMP Regulations: https://www.fda.gov/food/guidance-regulation-food-and-dietary-supplements</w:t>
      </w:r>
    </w:p>
    <w:p w14:paraId="6387E06D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</w:rPr>
        <w:t>8.</w:t>
      </w:r>
      <w:r w:rsidRPr="00606BE9">
        <w:rPr>
          <w:rFonts w:ascii="Palatino" w:hAnsi="Palatino"/>
          <w:b/>
        </w:rPr>
        <w:tab/>
        <w:t>Definitions</w:t>
      </w:r>
    </w:p>
    <w:p w14:paraId="6EB9A7B6" w14:textId="77777777" w:rsidR="001658CD" w:rsidRDefault="00000000">
      <w:r>
        <w:t>• cGMP: Current Good Manufacturing Practice</w:t>
      </w:r>
      <w:r>
        <w:br/>
        <w:t>• Safe Harbor: Colorado program for compliant hemp products</w:t>
      </w:r>
      <w:r>
        <w:br/>
        <w:t>• COA: Certificate of Analysis from testing laboratory</w:t>
      </w:r>
      <w:r>
        <w:br/>
        <w:t>• Naturally Occurring Cannabinoid: Cannabinoid extracted directly from hemp</w:t>
      </w:r>
      <w:r>
        <w:br/>
        <w:t>• Chemically Converted Cannabinoid: Cannabinoid created through chemical process</w:t>
      </w:r>
      <w:r>
        <w:br/>
        <w:t>• Product Registry: State list of approved products for sale</w:t>
      </w:r>
    </w:p>
    <w:p w14:paraId="6363E375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</w:rPr>
        <w:t>9.</w:t>
      </w:r>
      <w:r w:rsidRPr="00606BE9">
        <w:rPr>
          <w:rFonts w:ascii="Palatino" w:hAnsi="Palatino"/>
          <w:b/>
        </w:rPr>
        <w:tab/>
        <w:t>Sources</w:t>
      </w:r>
    </w:p>
    <w:p w14:paraId="0A19E08A" w14:textId="77777777" w:rsidR="001658CD" w:rsidRDefault="00000000">
      <w:r>
        <w:t>Information for this SOP was obtained from:</w:t>
      </w:r>
      <w:r>
        <w:br/>
        <w:t>• Colorado Department of Agriculture Hemp Program</w:t>
      </w:r>
      <w:r>
        <w:br/>
        <w:t xml:space="preserve">  https://ag.colorado.gov/plants/hemp</w:t>
      </w:r>
      <w:r>
        <w:br/>
        <w:t>• Colorado Department of Public Health and Environment</w:t>
      </w:r>
      <w:r>
        <w:br/>
        <w:t xml:space="preserve">  https://cdphe.colorado.gov/dehs/hemp-food</w:t>
      </w:r>
      <w:r>
        <w:br/>
        <w:t>• Colorado Safe Harbor Regulations</w:t>
      </w:r>
      <w:r>
        <w:br/>
        <w:t xml:space="preserve">  https://www.cannabisregulations.ai/cannabis-and-hemp-regulations-compliance-ai-blog/colorado-2025-intoxicating-hemp-ratios-mg-caps-safe-harbor</w:t>
      </w:r>
      <w:r>
        <w:br/>
        <w:t>• Kentucky Cabinet for Health and Family Services</w:t>
      </w:r>
      <w:r>
        <w:br/>
        <w:t xml:space="preserve">  https://www.chfs.ky.gov/agencies/dph/dphps/fsb/Pages/HDCP.aspx</w:t>
      </w:r>
      <w:r>
        <w:br/>
        <w:t>• Allay Consulting - Colorado Hemp Regulations</w:t>
      </w:r>
      <w:r>
        <w:br/>
        <w:t xml:space="preserve">  https://allayconsulting.com/allay-consultings-february-newsletter-colorados-new-hemp-regulations-safe-harbor-registrants/</w:t>
      </w:r>
    </w:p>
    <w:p w14:paraId="14A5E079" w14:textId="77777777" w:rsidR="001658CD" w:rsidRDefault="001658CD"/>
    <w:p w14:paraId="3AA14DC9" w14:textId="77777777" w:rsidR="001658CD" w:rsidRPr="00606BE9" w:rsidRDefault="00000000">
      <w:pPr>
        <w:rPr>
          <w:rFonts w:ascii="Palatino" w:hAnsi="Palatino"/>
        </w:rPr>
      </w:pPr>
      <w:r w:rsidRPr="00606BE9">
        <w:rPr>
          <w:rFonts w:ascii="Palatino" w:hAnsi="Palatino"/>
          <w:b/>
          <w:sz w:val="24"/>
        </w:rPr>
        <w:t>Related SOPs and Cross-References</w:t>
      </w:r>
    </w:p>
    <w:p w14:paraId="5931EAF7" w14:textId="77777777" w:rsidR="001658CD" w:rsidRDefault="00000000">
      <w:r>
        <w:rPr>
          <w:b/>
        </w:rPr>
        <w:t xml:space="preserve">Category: </w:t>
      </w:r>
      <w:r>
        <w:t>COMPLIANCE - RECOMMENDATION FROM OTHER STATES</w:t>
      </w:r>
    </w:p>
    <w:p w14:paraId="6B0FE27D" w14:textId="77777777" w:rsidR="001658CD" w:rsidRDefault="00000000">
      <w:r>
        <w:lastRenderedPageBreak/>
        <w:t>The following SOPs are related to this procedure:</w:t>
      </w:r>
    </w:p>
    <w:p w14:paraId="5B70D0AA" w14:textId="77777777" w:rsidR="001658CD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NYS source material testing</w:t>
      </w:r>
    </w:p>
    <w:p w14:paraId="12020252" w14:textId="77777777" w:rsidR="001658CD" w:rsidRDefault="00000000">
      <w:pPr>
        <w:pStyle w:val="ListBullet"/>
      </w:pPr>
      <w:r>
        <w:rPr>
          <w:b/>
        </w:rPr>
        <w:t>SOP-006: Post-Harvest Reporting</w:t>
      </w:r>
      <w:r>
        <w:t xml:space="preserve"> - NYS tracking material into products</w:t>
      </w:r>
    </w:p>
    <w:p w14:paraId="721FC13A" w14:textId="77777777" w:rsidR="001658CD" w:rsidRDefault="00000000">
      <w:pPr>
        <w:pStyle w:val="ListBullet"/>
      </w:pPr>
      <w:r>
        <w:rPr>
          <w:b/>
        </w:rPr>
        <w:t>SOP-011: DEA Laboratory Registration Compliance (OTHER STATES)</w:t>
      </w:r>
      <w:r>
        <w:t xml:space="preserve"> - Product testing - recommendation from other states</w:t>
      </w:r>
    </w:p>
    <w:p w14:paraId="4744CC2D" w14:textId="77777777" w:rsidR="001658CD" w:rsidRDefault="001658CD"/>
    <w:p w14:paraId="3559A8CC" w14:textId="77777777" w:rsidR="001658CD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1658CD" w:rsidSect="00606BE9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49513" w14:textId="77777777" w:rsidR="009C3AEB" w:rsidRDefault="009C3AEB" w:rsidP="00606BE9">
      <w:pPr>
        <w:spacing w:after="0" w:line="240" w:lineRule="auto"/>
      </w:pPr>
      <w:r>
        <w:separator/>
      </w:r>
    </w:p>
  </w:endnote>
  <w:endnote w:type="continuationSeparator" w:id="0">
    <w:p w14:paraId="63E7CF62" w14:textId="77777777" w:rsidR="009C3AEB" w:rsidRDefault="009C3AEB" w:rsidP="00606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6093726"/>
      <w:docPartObj>
        <w:docPartGallery w:val="Page Numbers (Bottom of Page)"/>
        <w:docPartUnique/>
      </w:docPartObj>
    </w:sdtPr>
    <w:sdtContent>
      <w:p w14:paraId="6195E2CF" w14:textId="650A9EFD" w:rsidR="00606BE9" w:rsidRDefault="00606BE9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855EE2" w14:textId="77777777" w:rsidR="00606BE9" w:rsidRDefault="00606BE9" w:rsidP="00606B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5579298"/>
      <w:docPartObj>
        <w:docPartGallery w:val="Page Numbers (Bottom of Page)"/>
        <w:docPartUnique/>
      </w:docPartObj>
    </w:sdtPr>
    <w:sdtContent>
      <w:p w14:paraId="3B33A92D" w14:textId="38AC803F" w:rsidR="00606BE9" w:rsidRDefault="00606BE9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2434ED3" w14:textId="77777777" w:rsidR="00606BE9" w:rsidRDefault="00606BE9" w:rsidP="00606BE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3DB66" w14:textId="77777777" w:rsidR="009C3AEB" w:rsidRDefault="009C3AEB" w:rsidP="00606BE9">
      <w:pPr>
        <w:spacing w:after="0" w:line="240" w:lineRule="auto"/>
      </w:pPr>
      <w:r>
        <w:separator/>
      </w:r>
    </w:p>
  </w:footnote>
  <w:footnote w:type="continuationSeparator" w:id="0">
    <w:p w14:paraId="4B98F563" w14:textId="77777777" w:rsidR="009C3AEB" w:rsidRDefault="009C3AEB" w:rsidP="00606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0"/>
      <w:gridCol w:w="2414"/>
      <w:gridCol w:w="1433"/>
    </w:tblGrid>
    <w:tr w:rsidR="00606BE9" w:rsidRPr="0080671D" w14:paraId="5061B50A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4FED8FB2" w14:textId="77777777" w:rsidR="00606BE9" w:rsidRPr="0080671D" w:rsidRDefault="00606BE9" w:rsidP="00606BE9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67AE760E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2AF3E17C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691E2930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451EF9CB" w14:textId="66542926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15</w:t>
          </w:r>
        </w:p>
      </w:tc>
    </w:tr>
    <w:tr w:rsidR="00606BE9" w:rsidRPr="0080671D" w14:paraId="074082CD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4F6B27BC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5CE02EBD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1F6DE187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5571BBDA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606BE9" w:rsidRPr="0080671D" w14:paraId="470D79E8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50E69577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3900C967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6E3B3FB8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720864BC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606BE9" w:rsidRPr="0080671D" w14:paraId="66409709" w14:textId="77777777" w:rsidTr="00E074E7">
      <w:trPr>
        <w:trHeight w:val="360"/>
      </w:trPr>
      <w:tc>
        <w:tcPr>
          <w:tcW w:w="1620" w:type="dxa"/>
          <w:vAlign w:val="center"/>
        </w:tcPr>
        <w:p w14:paraId="6B0A8BA0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0E9B6ADF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5</w:t>
          </w:r>
        </w:p>
      </w:tc>
      <w:tc>
        <w:tcPr>
          <w:tcW w:w="2700" w:type="dxa"/>
          <w:vAlign w:val="center"/>
        </w:tcPr>
        <w:p w14:paraId="7B5F964B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1D15BEAC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606BE9" w:rsidRPr="0080671D" w14:paraId="6F4792EE" w14:textId="77777777" w:rsidTr="00E074E7">
      <w:trPr>
        <w:trHeight w:val="360"/>
      </w:trPr>
      <w:tc>
        <w:tcPr>
          <w:tcW w:w="1620" w:type="dxa"/>
          <w:vAlign w:val="center"/>
        </w:tcPr>
        <w:p w14:paraId="56EF2A35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30330959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0FA69DC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11BBDE30" w14:textId="77777777" w:rsidR="00606BE9" w:rsidRPr="0080671D" w:rsidRDefault="00606BE9" w:rsidP="00606B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61EF6B32" w14:textId="77777777" w:rsidR="00606BE9" w:rsidRDefault="00606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547842">
    <w:abstractNumId w:val="8"/>
  </w:num>
  <w:num w:numId="2" w16cid:durableId="598148281">
    <w:abstractNumId w:val="6"/>
  </w:num>
  <w:num w:numId="3" w16cid:durableId="1375689601">
    <w:abstractNumId w:val="5"/>
  </w:num>
  <w:num w:numId="4" w16cid:durableId="256182053">
    <w:abstractNumId w:val="4"/>
  </w:num>
  <w:num w:numId="5" w16cid:durableId="1725787829">
    <w:abstractNumId w:val="7"/>
  </w:num>
  <w:num w:numId="6" w16cid:durableId="640233176">
    <w:abstractNumId w:val="3"/>
  </w:num>
  <w:num w:numId="7" w16cid:durableId="262425145">
    <w:abstractNumId w:val="2"/>
  </w:num>
  <w:num w:numId="8" w16cid:durableId="1832406621">
    <w:abstractNumId w:val="1"/>
  </w:num>
  <w:num w:numId="9" w16cid:durableId="163579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8CD"/>
    <w:rsid w:val="0029639D"/>
    <w:rsid w:val="00326F90"/>
    <w:rsid w:val="00520A36"/>
    <w:rsid w:val="00606BE9"/>
    <w:rsid w:val="009C3A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FD9CC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06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2</cp:revision>
  <dcterms:created xsi:type="dcterms:W3CDTF">2013-12-23T23:15:00Z</dcterms:created>
  <dcterms:modified xsi:type="dcterms:W3CDTF">2026-02-04T16:20:00Z</dcterms:modified>
  <cp:category/>
</cp:coreProperties>
</file>