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FA224" w14:textId="77777777" w:rsidR="00FE3EAB" w:rsidRPr="0054077A" w:rsidRDefault="00000000">
      <w:pPr>
        <w:jc w:val="center"/>
        <w:rPr>
          <w:rFonts w:ascii="Palatino" w:hAnsi="Palatino"/>
        </w:rPr>
      </w:pPr>
      <w:r w:rsidRPr="0054077A">
        <w:rPr>
          <w:rFonts w:ascii="Palatino" w:hAnsi="Palatino"/>
          <w:b/>
          <w:sz w:val="28"/>
        </w:rPr>
        <w:t>Standard Operating Procedure: Hemp Sampling Protocol Best Practices</w:t>
      </w:r>
    </w:p>
    <w:p w14:paraId="01D1A703" w14:textId="69F7FDCD" w:rsidR="00FE3EAB" w:rsidRPr="0054077A" w:rsidRDefault="00000000" w:rsidP="0054077A">
      <w:pPr>
        <w:jc w:val="center"/>
        <w:rPr>
          <w:rFonts w:ascii="Palatino" w:hAnsi="Palatino"/>
        </w:rPr>
      </w:pPr>
      <w:r w:rsidRPr="0054077A">
        <w:rPr>
          <w:rFonts w:ascii="Palatino" w:hAnsi="Palatino"/>
          <w:b/>
          <w:i/>
        </w:rPr>
        <w:t>[RECOMMENDATION FROM OTHER STATES]</w:t>
      </w:r>
    </w:p>
    <w:p w14:paraId="6300D589" w14:textId="77777777" w:rsidR="00FE3EAB" w:rsidRPr="0054077A" w:rsidRDefault="00000000">
      <w:pPr>
        <w:rPr>
          <w:rFonts w:ascii="Palatino" w:hAnsi="Palatino"/>
        </w:rPr>
      </w:pPr>
      <w:r w:rsidRPr="0054077A">
        <w:rPr>
          <w:rFonts w:ascii="Palatino" w:hAnsi="Palatino"/>
          <w:b/>
        </w:rPr>
        <w:t>1.</w:t>
      </w:r>
      <w:r w:rsidRPr="0054077A">
        <w:rPr>
          <w:rFonts w:ascii="Palatino" w:hAnsi="Palatino"/>
          <w:b/>
        </w:rPr>
        <w:tab/>
        <w:t>Purpose</w:t>
      </w:r>
    </w:p>
    <w:p w14:paraId="320CD27F" w14:textId="77777777" w:rsidR="00FE3EAB" w:rsidRDefault="00000000">
      <w:r>
        <w:t>To establish best practices for hemp sampling procedures based on USDA Sampling Guidelines and multi-state program requirements, ensuring representative samples and compliant testing results.</w:t>
      </w:r>
    </w:p>
    <w:p w14:paraId="30F427EE" w14:textId="77777777" w:rsidR="00FE3EAB" w:rsidRPr="0054077A" w:rsidRDefault="00000000">
      <w:pPr>
        <w:rPr>
          <w:rFonts w:ascii="Palatino" w:hAnsi="Palatino"/>
        </w:rPr>
      </w:pPr>
      <w:r w:rsidRPr="0054077A">
        <w:rPr>
          <w:rFonts w:ascii="Palatino" w:hAnsi="Palatino"/>
          <w:b/>
        </w:rPr>
        <w:t>2.</w:t>
      </w:r>
      <w:r w:rsidRPr="0054077A">
        <w:rPr>
          <w:rFonts w:ascii="Palatino" w:hAnsi="Palatino"/>
          <w:b/>
        </w:rPr>
        <w:tab/>
        <w:t>Scope</w:t>
      </w:r>
    </w:p>
    <w:p w14:paraId="21ACAE7A" w14:textId="77777777" w:rsidR="00FE3EAB" w:rsidRDefault="00000000">
      <w:r>
        <w:t>This SOP applies to NYS licensed hemp growers coordinating with certified sampling agents and to sampling agents collecting regulatory samples.</w:t>
      </w:r>
    </w:p>
    <w:p w14:paraId="78AE5010" w14:textId="77777777" w:rsidR="00FE3EAB" w:rsidRPr="0054077A" w:rsidRDefault="00000000">
      <w:pPr>
        <w:rPr>
          <w:rFonts w:ascii="Palatino" w:hAnsi="Palatino"/>
        </w:rPr>
      </w:pPr>
      <w:r w:rsidRPr="0054077A">
        <w:rPr>
          <w:rFonts w:ascii="Palatino" w:hAnsi="Palatino"/>
          <w:b/>
        </w:rPr>
        <w:t>3.</w:t>
      </w:r>
      <w:r w:rsidRPr="0054077A">
        <w:rPr>
          <w:rFonts w:ascii="Palatino" w:hAnsi="Palatino"/>
          <w:b/>
        </w:rPr>
        <w:tab/>
        <w:t>Prerequisites</w:t>
      </w:r>
    </w:p>
    <w:p w14:paraId="52427C88" w14:textId="77777777" w:rsidR="00FE3EAB" w:rsidRDefault="00000000">
      <w:r>
        <w:t>Required prerequisites:</w:t>
      </w:r>
      <w:r>
        <w:br/>
        <w:t>• Understanding of USDA sampling guidelines</w:t>
      </w:r>
      <w:r>
        <w:br/>
        <w:t>• Knowledge of state sampling requirements</w:t>
      </w:r>
      <w:r>
        <w:br/>
        <w:t>• Certified Sampling Agent relationship</w:t>
      </w:r>
      <w:r>
        <w:br/>
        <w:t>• Chain of Custody documentation</w:t>
      </w:r>
      <w:r>
        <w:br/>
        <w:t>• Sample collection materials</w:t>
      </w:r>
    </w:p>
    <w:p w14:paraId="5BB05E06" w14:textId="77777777" w:rsidR="00FE3EAB" w:rsidRPr="0054077A" w:rsidRDefault="00000000">
      <w:pPr>
        <w:rPr>
          <w:rFonts w:ascii="Palatino" w:hAnsi="Palatino"/>
        </w:rPr>
      </w:pPr>
      <w:r w:rsidRPr="0054077A">
        <w:rPr>
          <w:rFonts w:ascii="Palatino" w:hAnsi="Palatino"/>
          <w:b/>
        </w:rPr>
        <w:t>4.</w:t>
      </w:r>
      <w:r w:rsidRPr="0054077A">
        <w:rPr>
          <w:rFonts w:ascii="Palatino" w:hAnsi="Palatino"/>
          <w:b/>
        </w:rPr>
        <w:tab/>
        <w:t>Responsibilities</w:t>
      </w:r>
    </w:p>
    <w:p w14:paraId="1813E63F" w14:textId="77777777" w:rsidR="00FE3EAB" w:rsidRDefault="00000000">
      <w:r>
        <w:t>Key personnel with primary roles:</w:t>
      </w:r>
      <w:r>
        <w:br/>
        <w:t>• License Holder: Coordinate sampling; provide site access</w:t>
      </w:r>
      <w:r>
        <w:br/>
        <w:t>• Certified Sampling Agent: Collect samples per protocol; maintain chain of custody</w:t>
      </w:r>
      <w:r>
        <w:br/>
        <w:t>• Laboratory: Receive and test samples</w:t>
      </w:r>
      <w:r>
        <w:br/>
        <w:t>• Regulatory Authority: Oversee sampling program</w:t>
      </w:r>
    </w:p>
    <w:p w14:paraId="4E74BF1A" w14:textId="77777777" w:rsidR="00FE3EAB" w:rsidRPr="0054077A" w:rsidRDefault="00000000">
      <w:pPr>
        <w:rPr>
          <w:rFonts w:ascii="Palatino" w:hAnsi="Palatino"/>
        </w:rPr>
      </w:pPr>
      <w:r w:rsidRPr="0054077A">
        <w:rPr>
          <w:rFonts w:ascii="Palatino" w:hAnsi="Palatino"/>
          <w:b/>
        </w:rPr>
        <w:t>5.</w:t>
      </w:r>
      <w:r w:rsidRPr="0054077A">
        <w:rPr>
          <w:rFonts w:ascii="Palatino" w:hAnsi="Palatino"/>
          <w:b/>
        </w:rPr>
        <w:tab/>
        <w:t>Materials</w:t>
      </w:r>
    </w:p>
    <w:p w14:paraId="6FD41578" w14:textId="77777777" w:rsidR="00FE3EAB" w:rsidRDefault="00000000">
      <w:r>
        <w:t>Required materials:</w:t>
      </w:r>
      <w:r>
        <w:br/>
        <w:t>• USDA Sampling Guidelines document</w:t>
      </w:r>
      <w:r>
        <w:br/>
        <w:t>• Chain of Custody forms</w:t>
      </w:r>
      <w:r>
        <w:br/>
        <w:t>• Sample collection containers</w:t>
      </w:r>
      <w:r>
        <w:br/>
        <w:t>• Cutting tools (clean)</w:t>
      </w:r>
      <w:r>
        <w:br/>
        <w:t>• Labels and markers</w:t>
      </w:r>
      <w:r>
        <w:br/>
      </w:r>
      <w:r>
        <w:lastRenderedPageBreak/>
        <w:t>• Shipping materials</w:t>
      </w:r>
      <w:r>
        <w:br/>
        <w:t>• GPS device (for location verification)</w:t>
      </w:r>
    </w:p>
    <w:p w14:paraId="3648924F" w14:textId="77777777" w:rsidR="00FE3EAB" w:rsidRPr="0054077A" w:rsidRDefault="00000000">
      <w:pPr>
        <w:rPr>
          <w:rFonts w:ascii="Palatino" w:hAnsi="Palatino"/>
        </w:rPr>
      </w:pPr>
      <w:r w:rsidRPr="0054077A">
        <w:rPr>
          <w:rFonts w:ascii="Palatino" w:hAnsi="Palatino"/>
          <w:b/>
        </w:rPr>
        <w:t>6.</w:t>
      </w:r>
      <w:r w:rsidRPr="0054077A">
        <w:rPr>
          <w:rFonts w:ascii="Palatino" w:hAnsi="Palatino"/>
          <w:b/>
        </w:rPr>
        <w:tab/>
        <w:t>Procedure</w:t>
      </w:r>
    </w:p>
    <w:p w14:paraId="1921A1F7" w14:textId="77777777" w:rsidR="00FE3EAB" w:rsidRDefault="00000000">
      <w:r>
        <w:t>6.1 Sampling Timeline Requirements</w:t>
      </w:r>
      <w:r>
        <w:br/>
        <w:t xml:space="preserve">   • Sample collection: No more than 30 days before anticipated harvest</w:t>
      </w:r>
      <w:r>
        <w:br/>
        <w:t xml:space="preserve">   • Harvest: Must occur within 30 days of sample collection</w:t>
      </w:r>
      <w:r>
        <w:br/>
        <w:t xml:space="preserve">   • If harvest not completed within 30 days: Second sample required</w:t>
      </w:r>
      <w:r>
        <w:br/>
        <w:t xml:space="preserve">   • Coordinate harvest schedule with sampling</w:t>
      </w:r>
      <w:r>
        <w:br/>
      </w:r>
      <w:r>
        <w:br/>
        <w:t>6.2 Who May Collect Samples (USDA Requirement)</w:t>
      </w:r>
      <w:r>
        <w:br/>
        <w:t xml:space="preserve">   • USDA-approved sampling agents</w:t>
      </w:r>
      <w:r>
        <w:br/>
        <w:t xml:space="preserve">   • State-certified sampling agents</w:t>
      </w:r>
      <w:r>
        <w:br/>
        <w:t xml:space="preserve">   • Law enforcement officers</w:t>
      </w:r>
      <w:r>
        <w:br/>
        <w:t xml:space="preserve">   • Growers CANNOT collect their own compliance samples</w:t>
      </w:r>
      <w:r>
        <w:br/>
        <w:t xml:space="preserve">   • Chain of custody must be maintained</w:t>
      </w:r>
      <w:r>
        <w:br/>
      </w:r>
      <w:r>
        <w:br/>
        <w:t>6.3 Sample Collection Location</w:t>
      </w:r>
      <w:r>
        <w:br/>
        <w:t xml:space="preserve">   Collect from flowering tops:</w:t>
      </w:r>
      <w:r>
        <w:br/>
        <w:t xml:space="preserve">   a. Top 5-8 inches of main stem</w:t>
      </w:r>
      <w:r>
        <w:br/>
        <w:t xml:space="preserve">   b. Include leaves and flowers</w:t>
      </w:r>
      <w:r>
        <w:br/>
        <w:t xml:space="preserve">   c. From terminal bud (end of stem)</w:t>
      </w:r>
      <w:r>
        <w:br/>
        <w:t xml:space="preserve">   d. From central cola of flowering top</w:t>
      </w:r>
      <w:r>
        <w:br/>
        <w:t xml:space="preserve">   </w:t>
      </w:r>
      <w:r>
        <w:br/>
        <w:t xml:space="preserve">   Do NOT collect:</w:t>
      </w:r>
      <w:r>
        <w:br/>
        <w:t xml:space="preserve">   • Roots</w:t>
      </w:r>
      <w:r>
        <w:br/>
        <w:t xml:space="preserve">   • Stalks below flowering top</w:t>
      </w:r>
      <w:r>
        <w:br/>
        <w:t xml:space="preserve">   • Fan leaves only</w:t>
      </w:r>
      <w:r>
        <w:br/>
      </w:r>
      <w:r>
        <w:br/>
        <w:t>6.4 Representative Sampling</w:t>
      </w:r>
      <w:r>
        <w:br/>
        <w:t xml:space="preserve">   • Collect from multiple locations within lot</w:t>
      </w:r>
      <w:r>
        <w:br/>
        <w:t xml:space="preserve">   • Sample should represent entire lot</w:t>
      </w:r>
      <w:r>
        <w:br/>
        <w:t xml:space="preserve">   • Minimum sample size per state/lab requirements</w:t>
      </w:r>
      <w:r>
        <w:br/>
        <w:t xml:space="preserve">   • Document collection locations</w:t>
      </w:r>
      <w:r>
        <w:br/>
        <w:t xml:space="preserve">   • Use random or systematic sampling pattern</w:t>
      </w:r>
      <w:r>
        <w:br/>
      </w:r>
      <w:r>
        <w:br/>
        <w:t>6.5 Chain of Custody</w:t>
      </w:r>
      <w:r>
        <w:br/>
      </w:r>
      <w:r>
        <w:lastRenderedPageBreak/>
        <w:t xml:space="preserve">   a. Document sample collection:</w:t>
      </w:r>
      <w:r>
        <w:br/>
        <w:t xml:space="preserve">      • Date and time</w:t>
      </w:r>
      <w:r>
        <w:br/>
        <w:t xml:space="preserve">      • Location (GPS coordinates)</w:t>
      </w:r>
      <w:r>
        <w:br/>
        <w:t xml:space="preserve">      • Lot/field identifier</w:t>
      </w:r>
      <w:r>
        <w:br/>
        <w:t xml:space="preserve">      • Sampler identification</w:t>
      </w:r>
      <w:r>
        <w:br/>
        <w:t xml:space="preserve">      • Sample quantity</w:t>
      </w:r>
      <w:r>
        <w:br/>
        <w:t xml:space="preserve">   b. Seal samples properly</w:t>
      </w:r>
      <w:r>
        <w:br/>
        <w:t xml:space="preserve">   c. Label with unique identifier</w:t>
      </w:r>
      <w:r>
        <w:br/>
        <w:t xml:space="preserve">   d. Track sample through testing</w:t>
      </w:r>
      <w:r>
        <w:br/>
        <w:t xml:space="preserve">   e. Maintain custody documentation</w:t>
      </w:r>
      <w:r>
        <w:br/>
      </w:r>
      <w:r>
        <w:br/>
        <w:t>6.6 Sample Handling</w:t>
      </w:r>
      <w:r>
        <w:br/>
        <w:t xml:space="preserve">   a. Use clean collection tools</w:t>
      </w:r>
      <w:r>
        <w:br/>
        <w:t xml:space="preserve">   b. Avoid contamination between lots</w:t>
      </w:r>
      <w:r>
        <w:br/>
        <w:t xml:space="preserve">   c. Place in appropriate containers</w:t>
      </w:r>
      <w:r>
        <w:br/>
        <w:t xml:space="preserve">   d. Store properly until shipment</w:t>
      </w:r>
      <w:r>
        <w:br/>
        <w:t xml:space="preserve">   e. Ship promptly to laboratory</w:t>
      </w:r>
      <w:r>
        <w:br/>
        <w:t xml:space="preserve">   f. Follow laboratory's shipping instructions</w:t>
      </w:r>
      <w:r>
        <w:br/>
      </w:r>
      <w:r>
        <w:br/>
        <w:t>6.7 Grower Responsibilities</w:t>
      </w:r>
      <w:r>
        <w:br/>
        <w:t xml:space="preserve">   a. Schedule sampling with agent</w:t>
      </w:r>
      <w:r>
        <w:br/>
        <w:t xml:space="preserve">   b. Provide site access</w:t>
      </w:r>
      <w:r>
        <w:br/>
        <w:t xml:space="preserve">   c. Have lot maps available</w:t>
      </w:r>
      <w:r>
        <w:br/>
        <w:t xml:space="preserve">   d. Identify varieties/lots to be sampled</w:t>
      </w:r>
      <w:r>
        <w:br/>
        <w:t xml:space="preserve">   e. Be present or have representative present</w:t>
      </w:r>
      <w:r>
        <w:br/>
        <w:t xml:space="preserve">   f. Do not interfere with sampling</w:t>
      </w:r>
      <w:r>
        <w:br/>
      </w:r>
      <w:r>
        <w:br/>
        <w:t>6.8 Post-Sampling</w:t>
      </w:r>
      <w:r>
        <w:br/>
        <w:t xml:space="preserve">   a. Retain chain of custody copy</w:t>
      </w:r>
      <w:r>
        <w:br/>
        <w:t xml:space="preserve">   b. Do NOT harvest until results received</w:t>
      </w:r>
      <w:r>
        <w:br/>
        <w:t xml:space="preserve">   c. Await compliance determination</w:t>
      </w:r>
      <w:r>
        <w:br/>
        <w:t xml:space="preserve">   d. If compliant: Harvest within 30 days</w:t>
      </w:r>
      <w:r>
        <w:br/>
        <w:t xml:space="preserve">   e. If non-compliant: Follow remediation/disposal SOP</w:t>
      </w:r>
      <w:r>
        <w:br/>
      </w:r>
      <w:r>
        <w:br/>
        <w:t>6.9 Documentation</w:t>
      </w:r>
      <w:r>
        <w:br/>
        <w:t xml:space="preserve">   • Chain of Custody forms</w:t>
      </w:r>
      <w:r>
        <w:br/>
        <w:t xml:space="preserve">   • Sample collection records</w:t>
      </w:r>
      <w:r>
        <w:br/>
      </w:r>
      <w:r>
        <w:lastRenderedPageBreak/>
        <w:t xml:space="preserve">   • Laboratory submission documentation</w:t>
      </w:r>
      <w:r>
        <w:br/>
        <w:t xml:space="preserve">   • Test results</w:t>
      </w:r>
      <w:r>
        <w:br/>
        <w:t xml:space="preserve">   • Compliance determinations</w:t>
      </w:r>
      <w:r>
        <w:br/>
        <w:t xml:space="preserve">   • Retain for minimum 3 years</w:t>
      </w:r>
    </w:p>
    <w:p w14:paraId="3A4F3C39" w14:textId="77777777" w:rsidR="00FE3EAB" w:rsidRPr="0054077A" w:rsidRDefault="00000000">
      <w:pPr>
        <w:rPr>
          <w:rFonts w:ascii="Palatino" w:hAnsi="Palatino"/>
        </w:rPr>
      </w:pPr>
      <w:r w:rsidRPr="0054077A">
        <w:rPr>
          <w:rFonts w:ascii="Palatino" w:hAnsi="Palatino"/>
          <w:b/>
        </w:rPr>
        <w:t>7.</w:t>
      </w:r>
      <w:r w:rsidRPr="0054077A">
        <w:rPr>
          <w:rFonts w:ascii="Palatino" w:hAnsi="Palatino"/>
          <w:b/>
        </w:rPr>
        <w:tab/>
        <w:t>References</w:t>
      </w:r>
    </w:p>
    <w:p w14:paraId="0CC63917" w14:textId="77777777" w:rsidR="00FE3EAB" w:rsidRDefault="00000000">
      <w:r>
        <w:t>• USDA AMS Sampling Guidelines for Hemp: https://www.ams.usda.gov/sites/default/files/media/SamplingGuidelinesforHemp.pdf</w:t>
      </w:r>
      <w:r>
        <w:br/>
        <w:t>• USDA Hemp Production Program: https://www.ams.usda.gov/rules-regulations/hemp</w:t>
      </w:r>
      <w:r>
        <w:br/>
        <w:t>• 7 CFR Part 990 Subpart C - USDA Hemp Production Plan: https://www.ecfr.gov/current/title-7/subtitle-B/chapter-IX/part-990/subpart-C</w:t>
      </w:r>
      <w:r>
        <w:br/>
        <w:t>• NYS Hemp Program: https://agriculture.ny.gov/hemp</w:t>
      </w:r>
      <w:r>
        <w:br/>
        <w:t>• ACS Laboratory Sampling Guidelines: https://www.acslab.com/compliance/</w:t>
      </w:r>
    </w:p>
    <w:p w14:paraId="2B88EDCA" w14:textId="77777777" w:rsidR="00FE3EAB" w:rsidRPr="0054077A" w:rsidRDefault="00000000">
      <w:pPr>
        <w:rPr>
          <w:rFonts w:ascii="Palatino" w:hAnsi="Palatino"/>
        </w:rPr>
      </w:pPr>
      <w:r w:rsidRPr="0054077A">
        <w:rPr>
          <w:rFonts w:ascii="Palatino" w:hAnsi="Palatino"/>
          <w:b/>
        </w:rPr>
        <w:t>8.</w:t>
      </w:r>
      <w:r w:rsidRPr="0054077A">
        <w:rPr>
          <w:rFonts w:ascii="Palatino" w:hAnsi="Palatino"/>
          <w:b/>
        </w:rPr>
        <w:tab/>
        <w:t>Definitions</w:t>
      </w:r>
    </w:p>
    <w:p w14:paraId="3F172E55" w14:textId="77777777" w:rsidR="00FE3EAB" w:rsidRDefault="00000000">
      <w:r>
        <w:t>• Certified Sampling Agent: Person authorized by state to collect hemp samples</w:t>
      </w:r>
      <w:r>
        <w:br/>
        <w:t>• Chain of Custody: Documentation tracking sample from collection to testing</w:t>
      </w:r>
      <w:r>
        <w:br/>
        <w:t>• Flowering Top: Upper portion of hemp plant containing flowers</w:t>
      </w:r>
      <w:r>
        <w:br/>
        <w:t>• Terminal Bud: Growth point at end of stem</w:t>
      </w:r>
      <w:r>
        <w:br/>
        <w:t>• Central Cola: Main flowering structure of plant</w:t>
      </w:r>
      <w:r>
        <w:br/>
        <w:t>• Representative Sample: Sample accurately reflecting entire lot</w:t>
      </w:r>
      <w:r>
        <w:br/>
        <w:t>• Lot: Contiguous area of one variety planted at same time</w:t>
      </w:r>
    </w:p>
    <w:p w14:paraId="77594572" w14:textId="77777777" w:rsidR="00FE3EAB" w:rsidRPr="0054077A" w:rsidRDefault="00000000">
      <w:pPr>
        <w:rPr>
          <w:rFonts w:ascii="Palatino" w:hAnsi="Palatino"/>
        </w:rPr>
      </w:pPr>
      <w:r w:rsidRPr="0054077A">
        <w:rPr>
          <w:rFonts w:ascii="Palatino" w:hAnsi="Palatino"/>
          <w:b/>
        </w:rPr>
        <w:t>9.</w:t>
      </w:r>
      <w:r w:rsidRPr="0054077A">
        <w:rPr>
          <w:rFonts w:ascii="Palatino" w:hAnsi="Palatino"/>
          <w:b/>
        </w:rPr>
        <w:tab/>
        <w:t>Sources</w:t>
      </w:r>
    </w:p>
    <w:p w14:paraId="36CA2D10" w14:textId="77777777" w:rsidR="00FE3EAB" w:rsidRDefault="00000000">
      <w:r>
        <w:t>Information for this SOP was obtained from:</w:t>
      </w:r>
      <w:r>
        <w:br/>
        <w:t>• USDA AMS Sampling Guidelines for Hemp</w:t>
      </w:r>
      <w:r>
        <w:br/>
        <w:t xml:space="preserve">  https://www.ams.usda.gov/sites/default/files/media/SamplingGuidelinesforHemp.pdf</w:t>
      </w:r>
      <w:r>
        <w:br/>
        <w:t>• USDA Hemp Production Program</w:t>
      </w:r>
      <w:r>
        <w:br/>
        <w:t xml:space="preserve">  https://www.ams.usda.gov/rules-regulations/hemp</w:t>
      </w:r>
      <w:r>
        <w:br/>
        <w:t>• 7 CFR Part 990 - Domestic Hemp Production Program</w:t>
      </w:r>
      <w:r>
        <w:br/>
        <w:t xml:space="preserve">  https://www.ecfr.gov/current/title-7/subtitle-B/chapter-IX/part-990</w:t>
      </w:r>
      <w:r>
        <w:br/>
        <w:t>• ACS Laboratory - Hemp Testing USDA Compliance</w:t>
      </w:r>
      <w:r>
        <w:br/>
        <w:t xml:space="preserve">  https://www.acslab.com/compliance/hemp-testing-usda-compliant-testing-requirements-explained</w:t>
      </w:r>
    </w:p>
    <w:p w14:paraId="052F8207" w14:textId="77777777" w:rsidR="00FE3EAB" w:rsidRDefault="00FE3EAB"/>
    <w:p w14:paraId="1C6EC804" w14:textId="77777777" w:rsidR="00FE3EAB" w:rsidRPr="0054077A" w:rsidRDefault="00000000">
      <w:pPr>
        <w:rPr>
          <w:rFonts w:ascii="Palatino" w:hAnsi="Palatino"/>
        </w:rPr>
      </w:pPr>
      <w:r w:rsidRPr="0054077A">
        <w:rPr>
          <w:rFonts w:ascii="Palatino" w:hAnsi="Palatino"/>
          <w:b/>
          <w:sz w:val="24"/>
        </w:rPr>
        <w:lastRenderedPageBreak/>
        <w:t>Related SOPs and Cross-References</w:t>
      </w:r>
    </w:p>
    <w:p w14:paraId="60FC11A0" w14:textId="77777777" w:rsidR="00FE3EAB" w:rsidRDefault="00000000">
      <w:r>
        <w:rPr>
          <w:b/>
        </w:rPr>
        <w:t xml:space="preserve">Category: </w:t>
      </w:r>
      <w:r>
        <w:t>TESTING - RECOMMENDATION FROM OTHER STATES</w:t>
      </w:r>
    </w:p>
    <w:p w14:paraId="413D0E9A" w14:textId="77777777" w:rsidR="00FE3EAB" w:rsidRDefault="00000000">
      <w:r>
        <w:t>The following SOPs are related to this procedure:</w:t>
      </w:r>
    </w:p>
    <w:p w14:paraId="5E65FDDD" w14:textId="77777777" w:rsidR="00FE3EAB" w:rsidRDefault="00000000">
      <w:pPr>
        <w:pStyle w:val="ListBullet"/>
      </w:pPr>
      <w:r>
        <w:rPr>
          <w:b/>
        </w:rPr>
        <w:t>SOP-005: Pre-Harvest Sampling and THC Testing</w:t>
      </w:r>
      <w:r>
        <w:t xml:space="preserve"> - NYS sampling requirements</w:t>
      </w:r>
    </w:p>
    <w:p w14:paraId="09C8F1E9" w14:textId="77777777" w:rsidR="00FE3EAB" w:rsidRDefault="00000000">
      <w:pPr>
        <w:pStyle w:val="ListBullet"/>
      </w:pPr>
      <w:r>
        <w:rPr>
          <w:b/>
        </w:rPr>
        <w:t>SOP-009: Sampling Agent Certification</w:t>
      </w:r>
      <w:r>
        <w:t xml:space="preserve"> - NYS who can collect samples</w:t>
      </w:r>
    </w:p>
    <w:p w14:paraId="7CF53D53" w14:textId="77777777" w:rsidR="00FE3EAB" w:rsidRDefault="00000000">
      <w:pPr>
        <w:pStyle w:val="ListBullet"/>
      </w:pPr>
      <w:r>
        <w:rPr>
          <w:b/>
        </w:rPr>
        <w:t>SOP-013: Measurement Uncertainty Compliance (OTHER STATES)</w:t>
      </w:r>
      <w:r>
        <w:t xml:space="preserve"> - Sample quality - recommendation from other states</w:t>
      </w:r>
    </w:p>
    <w:p w14:paraId="673E9681" w14:textId="77777777" w:rsidR="00FE3EAB" w:rsidRDefault="00FE3EAB"/>
    <w:p w14:paraId="6720CEB8" w14:textId="77777777" w:rsidR="00FE3EAB" w:rsidRDefault="00000000">
      <w:r>
        <w:rPr>
          <w:b/>
        </w:rPr>
        <w:t xml:space="preserve">Note: </w:t>
      </w:r>
      <w:r>
        <w:t>This SOP is part of a comprehensive hemp compliance system. SOPs marked "(OTHER STATES)" contain recommendations from other state programs and are suggestions, not NYS requirements. Always review related SOPs to ensure complete compliance.</w:t>
      </w:r>
    </w:p>
    <w:sectPr w:rsidR="00FE3EAB" w:rsidSect="0054077A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AC14C" w14:textId="77777777" w:rsidR="004F5348" w:rsidRDefault="004F5348" w:rsidP="0054077A">
      <w:pPr>
        <w:spacing w:after="0" w:line="240" w:lineRule="auto"/>
      </w:pPr>
      <w:r>
        <w:separator/>
      </w:r>
    </w:p>
  </w:endnote>
  <w:endnote w:type="continuationSeparator" w:id="0">
    <w:p w14:paraId="124621CC" w14:textId="77777777" w:rsidR="004F5348" w:rsidRDefault="004F5348" w:rsidP="00540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83892155"/>
      <w:docPartObj>
        <w:docPartGallery w:val="Page Numbers (Bottom of Page)"/>
        <w:docPartUnique/>
      </w:docPartObj>
    </w:sdtPr>
    <w:sdtContent>
      <w:p w14:paraId="558B325B" w14:textId="1E3119D1" w:rsidR="0054077A" w:rsidRDefault="0054077A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EED6D69" w14:textId="77777777" w:rsidR="0054077A" w:rsidRDefault="0054077A" w:rsidP="0054077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41390661"/>
      <w:docPartObj>
        <w:docPartGallery w:val="Page Numbers (Bottom of Page)"/>
        <w:docPartUnique/>
      </w:docPartObj>
    </w:sdtPr>
    <w:sdtContent>
      <w:p w14:paraId="5D9C31C4" w14:textId="07E4A76F" w:rsidR="0054077A" w:rsidRDefault="0054077A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82925CD" w14:textId="77777777" w:rsidR="0054077A" w:rsidRDefault="0054077A" w:rsidP="0054077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33846" w14:textId="77777777" w:rsidR="004F5348" w:rsidRDefault="004F5348" w:rsidP="0054077A">
      <w:pPr>
        <w:spacing w:after="0" w:line="240" w:lineRule="auto"/>
      </w:pPr>
      <w:r>
        <w:separator/>
      </w:r>
    </w:p>
  </w:footnote>
  <w:footnote w:type="continuationSeparator" w:id="0">
    <w:p w14:paraId="11D283B4" w14:textId="77777777" w:rsidR="004F5348" w:rsidRDefault="004F5348" w:rsidP="005407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23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ook w:val="0000" w:firstRow="0" w:lastRow="0" w:firstColumn="0" w:lastColumn="0" w:noHBand="0" w:noVBand="0"/>
    </w:tblPr>
    <w:tblGrid>
      <w:gridCol w:w="2696"/>
      <w:gridCol w:w="2680"/>
      <w:gridCol w:w="2414"/>
      <w:gridCol w:w="1433"/>
    </w:tblGrid>
    <w:tr w:rsidR="0054077A" w:rsidRPr="0080671D" w14:paraId="3C1641FC" w14:textId="77777777" w:rsidTr="00E074E7">
      <w:trPr>
        <w:trHeight w:val="360"/>
      </w:trPr>
      <w:tc>
        <w:tcPr>
          <w:tcW w:w="1620" w:type="dxa"/>
          <w:vMerge w:val="restart"/>
          <w:vAlign w:val="center"/>
        </w:tcPr>
        <w:p w14:paraId="08D69963" w14:textId="77777777" w:rsidR="0054077A" w:rsidRPr="0080671D" w:rsidRDefault="0054077A" w:rsidP="0054077A">
          <w:pPr>
            <w:pStyle w:val="Header"/>
            <w:jc w:val="cent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noProof/>
              <w:sz w:val="18"/>
              <w:szCs w:val="18"/>
            </w:rPr>
          </w:r>
        </w:p>
      </w:tc>
      <w:tc>
        <w:tcPr>
          <w:tcW w:w="3060" w:type="dxa"/>
          <w:vMerge w:val="restart"/>
          <w:vAlign w:val="center"/>
        </w:tcPr>
        <w:p w14:paraId="2BC714B4" w14:textId="77777777" w:rsidR="0054077A" w:rsidRPr="0080671D" w:rsidRDefault="0054077A" w:rsidP="0054077A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Department</w:t>
          </w:r>
        </w:p>
        <w:p w14:paraId="0F71F78A" w14:textId="77777777" w:rsidR="0054077A" w:rsidRPr="0080671D" w:rsidRDefault="0054077A" w:rsidP="0054077A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Division/Function</w:t>
          </w:r>
        </w:p>
      </w:tc>
      <w:tc>
        <w:tcPr>
          <w:tcW w:w="2700" w:type="dxa"/>
          <w:vAlign w:val="center"/>
        </w:tcPr>
        <w:p w14:paraId="22321AD0" w14:textId="77777777" w:rsidR="0054077A" w:rsidRPr="0080671D" w:rsidRDefault="0054077A" w:rsidP="0054077A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#</w:t>
          </w:r>
        </w:p>
      </w:tc>
      <w:tc>
        <w:tcPr>
          <w:tcW w:w="1843" w:type="dxa"/>
          <w:vAlign w:val="center"/>
        </w:tcPr>
        <w:p w14:paraId="773B6172" w14:textId="50083536" w:rsidR="0054077A" w:rsidRPr="0080671D" w:rsidRDefault="0054077A" w:rsidP="0054077A">
          <w:pPr>
            <w:pStyle w:val="Header"/>
            <w:rPr>
              <w:rFonts w:ascii="Palatino" w:hAnsi="Palatino" w:cs="Arial"/>
              <w:sz w:val="18"/>
              <w:szCs w:val="18"/>
            </w:rPr>
          </w:pPr>
          <w:r>
            <w:rPr>
              <w:rFonts w:ascii="Palatino" w:hAnsi="Palatino" w:cs="Arial"/>
              <w:sz w:val="18"/>
              <w:szCs w:val="18"/>
            </w:rPr>
            <w:t>16</w:t>
          </w:r>
        </w:p>
      </w:tc>
    </w:tr>
    <w:tr w:rsidR="0054077A" w:rsidRPr="0080671D" w14:paraId="66094B6A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3CEE25DB" w14:textId="77777777" w:rsidR="0054077A" w:rsidRPr="0080671D" w:rsidRDefault="0054077A" w:rsidP="0054077A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172F1D13" w14:textId="77777777" w:rsidR="0054077A" w:rsidRPr="0080671D" w:rsidRDefault="0054077A" w:rsidP="0054077A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057B2591" w14:textId="77777777" w:rsidR="0054077A" w:rsidRPr="0080671D" w:rsidRDefault="0054077A" w:rsidP="0054077A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Revision #</w:t>
          </w:r>
        </w:p>
      </w:tc>
      <w:tc>
        <w:tcPr>
          <w:tcW w:w="1843" w:type="dxa"/>
          <w:vAlign w:val="center"/>
        </w:tcPr>
        <w:p w14:paraId="605CDFF9" w14:textId="77777777" w:rsidR="0054077A" w:rsidRPr="0080671D" w:rsidRDefault="0054077A" w:rsidP="0054077A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54077A" w:rsidRPr="0080671D" w14:paraId="575BC4C1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0D9F1A4C" w14:textId="77777777" w:rsidR="0054077A" w:rsidRPr="0080671D" w:rsidRDefault="0054077A" w:rsidP="0054077A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2BC08198" w14:textId="77777777" w:rsidR="0054077A" w:rsidRPr="0080671D" w:rsidRDefault="0054077A" w:rsidP="0054077A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13386F9A" w14:textId="77777777" w:rsidR="0054077A" w:rsidRPr="0080671D" w:rsidRDefault="0054077A" w:rsidP="0054077A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Implementation Date</w:t>
          </w:r>
        </w:p>
      </w:tc>
      <w:tc>
        <w:tcPr>
          <w:tcW w:w="1843" w:type="dxa"/>
          <w:vAlign w:val="center"/>
        </w:tcPr>
        <w:p w14:paraId="771E1014" w14:textId="77777777" w:rsidR="0054077A" w:rsidRPr="0080671D" w:rsidRDefault="0054077A" w:rsidP="0054077A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54077A" w:rsidRPr="0080671D" w14:paraId="10B49B43" w14:textId="77777777" w:rsidTr="00E074E7">
      <w:trPr>
        <w:trHeight w:val="360"/>
      </w:trPr>
      <w:tc>
        <w:tcPr>
          <w:tcW w:w="1620" w:type="dxa"/>
          <w:vAlign w:val="center"/>
        </w:tcPr>
        <w:p w14:paraId="7697F2C2" w14:textId="77777777" w:rsidR="0054077A" w:rsidRPr="0080671D" w:rsidRDefault="0054077A" w:rsidP="0054077A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gram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Page  #</w:t>
          </w:r>
          <w:proofErr w:type="gramEnd"/>
        </w:p>
      </w:tc>
      <w:tc>
        <w:tcPr>
          <w:tcW w:w="3060" w:type="dxa"/>
          <w:vAlign w:val="center"/>
        </w:tcPr>
        <w:p w14:paraId="3E48E3BA" w14:textId="77777777" w:rsidR="0054077A" w:rsidRPr="0080671D" w:rsidRDefault="0054077A" w:rsidP="0054077A">
          <w:pPr>
            <w:pStyle w:val="Head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sz w:val="18"/>
              <w:szCs w:val="18"/>
            </w:rPr>
            <w:fldChar w:fldCharType="begin"/>
          </w:r>
          <w:r w:rsidRPr="0080671D">
            <w:rPr>
              <w:rFonts w:ascii="Palatino" w:hAnsi="Palatino" w:cs="Arial"/>
              <w:sz w:val="18"/>
              <w:szCs w:val="18"/>
            </w:rPr>
            <w:instrText xml:space="preserve"> PAGE </w:instrTex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separate"/>
          </w:r>
          <w:r w:rsidRPr="0080671D">
            <w:rPr>
              <w:rFonts w:ascii="Palatino" w:hAnsi="Palatino" w:cs="Arial"/>
              <w:noProof/>
              <w:sz w:val="18"/>
              <w:szCs w:val="18"/>
            </w:rPr>
            <w:t>1</w: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end"/>
          </w:r>
          <w:r w:rsidRPr="0080671D">
            <w:rPr>
              <w:rFonts w:ascii="Palatino" w:hAnsi="Palatino" w:cs="Arial"/>
              <w:sz w:val="18"/>
              <w:szCs w:val="18"/>
            </w:rPr>
            <w:t xml:space="preserve"> of </w:t>
          </w:r>
          <w:r>
            <w:rPr>
              <w:rFonts w:ascii="Palatino" w:hAnsi="Palatino" w:cs="Arial"/>
              <w:sz w:val="18"/>
              <w:szCs w:val="18"/>
            </w:rPr>
            <w:t>5</w:t>
          </w:r>
        </w:p>
      </w:tc>
      <w:tc>
        <w:tcPr>
          <w:tcW w:w="2700" w:type="dxa"/>
          <w:vAlign w:val="center"/>
        </w:tcPr>
        <w:p w14:paraId="0D553C1A" w14:textId="77777777" w:rsidR="0054077A" w:rsidRPr="0080671D" w:rsidRDefault="0054077A" w:rsidP="0054077A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Last Reviewed/Update Date</w:t>
          </w:r>
        </w:p>
      </w:tc>
      <w:tc>
        <w:tcPr>
          <w:tcW w:w="1843" w:type="dxa"/>
          <w:vAlign w:val="center"/>
        </w:tcPr>
        <w:p w14:paraId="19EF69A5" w14:textId="77777777" w:rsidR="0054077A" w:rsidRPr="0080671D" w:rsidRDefault="0054077A" w:rsidP="0054077A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54077A" w:rsidRPr="0080671D" w14:paraId="6D3436DB" w14:textId="77777777" w:rsidTr="00E074E7">
      <w:trPr>
        <w:trHeight w:val="360"/>
      </w:trPr>
      <w:tc>
        <w:tcPr>
          <w:tcW w:w="1620" w:type="dxa"/>
          <w:vAlign w:val="center"/>
        </w:tcPr>
        <w:p w14:paraId="7BB51547" w14:textId="77777777" w:rsidR="0054077A" w:rsidRPr="0080671D" w:rsidRDefault="0054077A" w:rsidP="0054077A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Owner</w:t>
          </w:r>
        </w:p>
      </w:tc>
      <w:tc>
        <w:tcPr>
          <w:tcW w:w="3060" w:type="dxa"/>
          <w:vAlign w:val="center"/>
        </w:tcPr>
        <w:p w14:paraId="6CFE50FB" w14:textId="77777777" w:rsidR="0054077A" w:rsidRPr="0080671D" w:rsidRDefault="0054077A" w:rsidP="0054077A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7375A7B0" w14:textId="77777777" w:rsidR="0054077A" w:rsidRPr="0080671D" w:rsidRDefault="0054077A" w:rsidP="0054077A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Approval</w:t>
          </w:r>
        </w:p>
      </w:tc>
      <w:tc>
        <w:tcPr>
          <w:tcW w:w="1843" w:type="dxa"/>
          <w:vAlign w:val="center"/>
        </w:tcPr>
        <w:p w14:paraId="03AF0A8B" w14:textId="77777777" w:rsidR="0054077A" w:rsidRPr="0080671D" w:rsidRDefault="0054077A" w:rsidP="0054077A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</w:tbl>
  <w:p w14:paraId="48A74D26" w14:textId="77777777" w:rsidR="0054077A" w:rsidRDefault="005407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0404638">
    <w:abstractNumId w:val="8"/>
  </w:num>
  <w:num w:numId="2" w16cid:durableId="1506165498">
    <w:abstractNumId w:val="6"/>
  </w:num>
  <w:num w:numId="3" w16cid:durableId="1605772991">
    <w:abstractNumId w:val="5"/>
  </w:num>
  <w:num w:numId="4" w16cid:durableId="1394623825">
    <w:abstractNumId w:val="4"/>
  </w:num>
  <w:num w:numId="5" w16cid:durableId="65226464">
    <w:abstractNumId w:val="7"/>
  </w:num>
  <w:num w:numId="6" w16cid:durableId="1045831217">
    <w:abstractNumId w:val="3"/>
  </w:num>
  <w:num w:numId="7" w16cid:durableId="355230066">
    <w:abstractNumId w:val="2"/>
  </w:num>
  <w:num w:numId="8" w16cid:durableId="1701857269">
    <w:abstractNumId w:val="1"/>
  </w:num>
  <w:num w:numId="9" w16cid:durableId="154451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348"/>
    <w:rsid w:val="00520A36"/>
    <w:rsid w:val="0054077A"/>
    <w:rsid w:val="00AA1D8D"/>
    <w:rsid w:val="00B47730"/>
    <w:rsid w:val="00CB0664"/>
    <w:rsid w:val="00FC693F"/>
    <w:rsid w:val="00FE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3E8B0D"/>
  <w14:defaultImageDpi w14:val="300"/>
  <w15:docId w15:val="{2B1661F8-0E76-374B-9FAE-0F30316F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540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843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Daniela Vergara</cp:lastModifiedBy>
  <cp:revision>2</cp:revision>
  <dcterms:created xsi:type="dcterms:W3CDTF">2013-12-23T23:15:00Z</dcterms:created>
  <dcterms:modified xsi:type="dcterms:W3CDTF">2026-02-04T16:23:00Z</dcterms:modified>
  <cp:category/>
</cp:coreProperties>
</file>