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88710" w14:textId="77777777" w:rsidR="00F41B56" w:rsidRPr="00564092" w:rsidRDefault="00000000">
      <w:pPr>
        <w:jc w:val="center"/>
        <w:rPr>
          <w:rFonts w:ascii="Palatino" w:hAnsi="Palatino"/>
        </w:rPr>
      </w:pPr>
      <w:r w:rsidRPr="00564092">
        <w:rPr>
          <w:rFonts w:ascii="Palatino" w:hAnsi="Palatino"/>
          <w:b/>
          <w:sz w:val="28"/>
        </w:rPr>
        <w:t>Standard Operating Procedure: Hemp Variety Selection and Seed Source Documentation</w:t>
      </w:r>
    </w:p>
    <w:p w14:paraId="156252AC" w14:textId="77777777" w:rsidR="00F41B56" w:rsidRPr="00564092" w:rsidRDefault="00000000">
      <w:pPr>
        <w:jc w:val="center"/>
        <w:rPr>
          <w:rFonts w:ascii="Palatino" w:hAnsi="Palatino"/>
        </w:rPr>
      </w:pPr>
      <w:r w:rsidRPr="00564092">
        <w:rPr>
          <w:rFonts w:ascii="Palatino" w:hAnsi="Palatino"/>
          <w:b/>
          <w:i/>
        </w:rPr>
        <w:t>[RECOMMENDATION FROM OTHER STATES]</w:t>
      </w:r>
    </w:p>
    <w:p w14:paraId="3E2B770A" w14:textId="77777777" w:rsidR="00F41B56" w:rsidRPr="00564092" w:rsidRDefault="00000000">
      <w:pPr>
        <w:rPr>
          <w:rFonts w:ascii="Palatino" w:hAnsi="Palatino"/>
        </w:rPr>
      </w:pPr>
      <w:r w:rsidRPr="00564092">
        <w:rPr>
          <w:rFonts w:ascii="Palatino" w:hAnsi="Palatino"/>
          <w:b/>
        </w:rPr>
        <w:t>1.</w:t>
      </w:r>
      <w:r w:rsidRPr="00564092">
        <w:rPr>
          <w:rFonts w:ascii="Palatino" w:hAnsi="Palatino"/>
          <w:b/>
        </w:rPr>
        <w:tab/>
        <w:t>Purpose</w:t>
      </w:r>
    </w:p>
    <w:p w14:paraId="2482827E" w14:textId="77777777" w:rsidR="00F41B56" w:rsidRDefault="00000000">
      <w:r>
        <w:t>To establish procedures for selecting compliant hemp varieties and documenting seed sources as required for licensing and to minimize THC compliance risk, based on USDA requirements and multi-state best practices.</w:t>
      </w:r>
    </w:p>
    <w:p w14:paraId="3DD4D6AB" w14:textId="77777777" w:rsidR="00F41B56" w:rsidRPr="00564092" w:rsidRDefault="00000000">
      <w:pPr>
        <w:rPr>
          <w:rFonts w:ascii="Palatino" w:hAnsi="Palatino"/>
        </w:rPr>
      </w:pPr>
      <w:r w:rsidRPr="00564092">
        <w:rPr>
          <w:rFonts w:ascii="Palatino" w:hAnsi="Palatino"/>
          <w:b/>
        </w:rPr>
        <w:t>2.</w:t>
      </w:r>
      <w:r w:rsidRPr="00564092">
        <w:rPr>
          <w:rFonts w:ascii="Palatino" w:hAnsi="Palatino"/>
          <w:b/>
        </w:rPr>
        <w:tab/>
        <w:t>Scope</w:t>
      </w:r>
    </w:p>
    <w:p w14:paraId="293C2F1F" w14:textId="77777777" w:rsidR="00F41B56" w:rsidRDefault="00000000">
      <w:r>
        <w:t>This SOP applies to NYS licensed hemp growers selecting hemp varieties for cultivation and documenting seed/propagule sources for regulatory compliance.</w:t>
      </w:r>
    </w:p>
    <w:p w14:paraId="04E8794E" w14:textId="77777777" w:rsidR="00F41B56" w:rsidRPr="00564092" w:rsidRDefault="00000000">
      <w:pPr>
        <w:rPr>
          <w:rFonts w:ascii="Palatino" w:hAnsi="Palatino"/>
        </w:rPr>
      </w:pPr>
      <w:r w:rsidRPr="00564092">
        <w:rPr>
          <w:rFonts w:ascii="Palatino" w:hAnsi="Palatino"/>
          <w:b/>
        </w:rPr>
        <w:t>3.</w:t>
      </w:r>
      <w:r w:rsidRPr="00564092">
        <w:rPr>
          <w:rFonts w:ascii="Palatino" w:hAnsi="Palatino"/>
          <w:b/>
        </w:rPr>
        <w:tab/>
        <w:t>Prerequisites</w:t>
      </w:r>
    </w:p>
    <w:p w14:paraId="65824BEC" w14:textId="77777777" w:rsidR="00F41B56" w:rsidRDefault="00000000">
      <w:r>
        <w:t>Required prerequisites:</w:t>
      </w:r>
      <w:r>
        <w:br/>
        <w:t>• Understanding of THC compliance requirements</w:t>
      </w:r>
      <w:r>
        <w:br/>
        <w:t>• Knowledge of variety performance data</w:t>
      </w:r>
      <w:r>
        <w:br/>
        <w:t>• Access to certified seed sources</w:t>
      </w:r>
      <w:r>
        <w:br/>
        <w:t>• Documentation systems for traceability</w:t>
      </w:r>
    </w:p>
    <w:p w14:paraId="52A78B7A" w14:textId="77777777" w:rsidR="00F41B56" w:rsidRPr="00564092" w:rsidRDefault="00000000">
      <w:pPr>
        <w:rPr>
          <w:rFonts w:ascii="Palatino" w:hAnsi="Palatino"/>
        </w:rPr>
      </w:pPr>
      <w:r w:rsidRPr="00564092">
        <w:rPr>
          <w:rFonts w:ascii="Palatino" w:hAnsi="Palatino"/>
          <w:b/>
        </w:rPr>
        <w:t>4.</w:t>
      </w:r>
      <w:r w:rsidRPr="00564092">
        <w:rPr>
          <w:rFonts w:ascii="Palatino" w:hAnsi="Palatino"/>
          <w:b/>
        </w:rPr>
        <w:tab/>
        <w:t>Responsibilities</w:t>
      </w:r>
    </w:p>
    <w:p w14:paraId="009EB2FF" w14:textId="77777777" w:rsidR="00F41B56" w:rsidRDefault="00000000">
      <w:r>
        <w:t>Key personnel with primary roles:</w:t>
      </w:r>
      <w:r>
        <w:br/>
        <w:t>• License Holder: Select appropriate varieties; maintain documentation</w:t>
      </w:r>
      <w:r>
        <w:br/>
        <w:t>• Farm Manager: Research variety performance; source seeds</w:t>
      </w:r>
      <w:r>
        <w:br/>
        <w:t>• Regulatory Authority: Review seed source documentation</w:t>
      </w:r>
    </w:p>
    <w:p w14:paraId="634594C9" w14:textId="77777777" w:rsidR="00F41B56" w:rsidRPr="00564092" w:rsidRDefault="00000000">
      <w:pPr>
        <w:rPr>
          <w:rFonts w:ascii="Palatino" w:hAnsi="Palatino"/>
        </w:rPr>
      </w:pPr>
      <w:r w:rsidRPr="00564092">
        <w:rPr>
          <w:rFonts w:ascii="Palatino" w:hAnsi="Palatino"/>
          <w:b/>
        </w:rPr>
        <w:t>5.</w:t>
      </w:r>
      <w:r w:rsidRPr="00564092">
        <w:rPr>
          <w:rFonts w:ascii="Palatino" w:hAnsi="Palatino"/>
          <w:b/>
        </w:rPr>
        <w:tab/>
        <w:t>Materials</w:t>
      </w:r>
    </w:p>
    <w:p w14:paraId="7F69CD0A" w14:textId="77777777" w:rsidR="00F41B56" w:rsidRDefault="00000000">
      <w:r>
        <w:t>Required materials:</w:t>
      </w:r>
      <w:r>
        <w:br/>
        <w:t>• Variety performance data/research</w:t>
      </w:r>
      <w:r>
        <w:br/>
        <w:t>• Seed supplier documentation</w:t>
      </w:r>
      <w:r>
        <w:br/>
        <w:t>• Certificates of Analysis for seed lots</w:t>
      </w:r>
      <w:r>
        <w:br/>
        <w:t>• Purchase records</w:t>
      </w:r>
      <w:r>
        <w:br/>
        <w:t>• Planting records</w:t>
      </w:r>
    </w:p>
    <w:p w14:paraId="18EC0520" w14:textId="77777777" w:rsidR="00F41B56" w:rsidRPr="00564092" w:rsidRDefault="00000000">
      <w:pPr>
        <w:rPr>
          <w:rFonts w:ascii="Palatino" w:hAnsi="Palatino"/>
        </w:rPr>
      </w:pPr>
      <w:r w:rsidRPr="00564092">
        <w:rPr>
          <w:rFonts w:ascii="Palatino" w:hAnsi="Palatino"/>
          <w:b/>
        </w:rPr>
        <w:t>6.</w:t>
      </w:r>
      <w:r w:rsidRPr="00564092">
        <w:rPr>
          <w:rFonts w:ascii="Palatino" w:hAnsi="Palatino"/>
          <w:b/>
        </w:rPr>
        <w:tab/>
        <w:t>Procedure</w:t>
      </w:r>
    </w:p>
    <w:p w14:paraId="318D6648" w14:textId="61FCAF65" w:rsidR="00F41B56" w:rsidRDefault="00000000">
      <w:r>
        <w:lastRenderedPageBreak/>
        <w:t>6.1 Understanding Variety Risk</w:t>
      </w:r>
      <w:r>
        <w:br/>
        <w:t xml:space="preserve">   • Not all hemp varieties have same THC risk</w:t>
      </w:r>
      <w:r>
        <w:br/>
        <w:t xml:space="preserve">   • Environmental factors affect THC levels</w:t>
      </w:r>
      <w:r>
        <w:br/>
        <w:t xml:space="preserve">   • Genetics provide baseline THC potential</w:t>
      </w:r>
      <w:r>
        <w:br/>
        <w:t xml:space="preserve">   • Selecting stable, tested varieties reduces risk</w:t>
      </w:r>
      <w:r>
        <w:br/>
        <w:t xml:space="preserve">   • New/untested varieties have higher risk</w:t>
      </w:r>
      <w:r>
        <w:br/>
      </w:r>
      <w:r>
        <w:br/>
        <w:t>6.2 Variety Research</w:t>
      </w:r>
      <w:r>
        <w:br/>
        <w:t xml:space="preserve">   a. Review university trial data</w:t>
      </w:r>
      <w:r>
        <w:br/>
        <w:t xml:space="preserve">   b. Check state-published variety lists</w:t>
      </w:r>
      <w:r>
        <w:br/>
        <w:t xml:space="preserve">   c. Research varieties' THC testing history</w:t>
      </w:r>
      <w:r>
        <w:br/>
        <w:t xml:space="preserve">   d. Consider regional performance data</w:t>
      </w:r>
      <w:r>
        <w:br/>
        <w:t xml:space="preserve">   e. Evaluate for intended end use:</w:t>
      </w:r>
      <w:r>
        <w:br/>
        <w:t xml:space="preserve">      • Fiber varieties</w:t>
      </w:r>
      <w:r>
        <w:br/>
        <w:t xml:space="preserve">      • Grain varieties</w:t>
      </w:r>
      <w:r>
        <w:br/>
        <w:t xml:space="preserve">      • CBD/cannabinoid varieties</w:t>
      </w:r>
      <w:r>
        <w:br/>
      </w:r>
      <w:r>
        <w:br/>
        <w:t>6.3 Seed Source Requirements (NYS)</w:t>
      </w:r>
      <w:r>
        <w:br/>
        <w:t xml:space="preserve">   Application must include:</w:t>
      </w:r>
      <w:r>
        <w:br/>
        <w:t xml:space="preserve">   • Source identification for seeds or propagules</w:t>
      </w:r>
      <w:r>
        <w:br/>
        <w:t xml:space="preserve">   • Seed supplier information</w:t>
      </w:r>
      <w:r>
        <w:br/>
        <w:t xml:space="preserve">   • Variety name(s)</w:t>
      </w:r>
      <w:r>
        <w:br/>
        <w:t xml:space="preserve">   • Documentation of legal source</w:t>
      </w:r>
      <w:r>
        <w:br/>
      </w:r>
      <w:r>
        <w:br/>
        <w:t>6.4 Documenting Seed Purchase</w:t>
      </w:r>
      <w:r>
        <w:br/>
        <w:t xml:space="preserve">   a. Obtain invoice/receipt from supplier</w:t>
      </w:r>
      <w:r>
        <w:br/>
        <w:t xml:space="preserve">   b. Record:</w:t>
      </w:r>
      <w:r>
        <w:br/>
        <w:t xml:space="preserve">      • Supplier name and contact</w:t>
      </w:r>
      <w:r>
        <w:br/>
        <w:t xml:space="preserve">      • Variety name</w:t>
      </w:r>
      <w:r>
        <w:br/>
        <w:t xml:space="preserve">      • Seed lot number</w:t>
      </w:r>
      <w:r>
        <w:br/>
        <w:t xml:space="preserve">      • Quantity purchased</w:t>
      </w:r>
      <w:r>
        <w:br/>
        <w:t xml:space="preserve">      • Date of purchase</w:t>
      </w:r>
      <w:r>
        <w:br/>
        <w:t xml:space="preserve">      • COA for seed lot (if available)</w:t>
      </w:r>
      <w:r>
        <w:br/>
        <w:t xml:space="preserve">   c. Verify supplier is licensed (if required)</w:t>
      </w:r>
      <w:r>
        <w:br/>
        <w:t xml:space="preserve">   d. Retain all documentation</w:t>
      </w:r>
      <w:r>
        <w:br/>
      </w:r>
      <w:r>
        <w:br/>
        <w:t>6.5 Certified Seed Considerations</w:t>
      </w:r>
      <w:r>
        <w:br/>
      </w:r>
      <w:r>
        <w:lastRenderedPageBreak/>
        <w:t xml:space="preserve">   • Certified seed provides quality assurance</w:t>
      </w:r>
      <w:r>
        <w:br/>
        <w:t xml:space="preserve">   • Third-party verification of variety identity</w:t>
      </w:r>
      <w:r>
        <w:br/>
        <w:t xml:space="preserve">   • May have germination guarantees</w:t>
      </w:r>
      <w:r>
        <w:br/>
        <w:t xml:space="preserve">   • More expensive but reduces risk</w:t>
      </w:r>
      <w:r>
        <w:br/>
        <w:t xml:space="preserve">   • Check for certified seed availability</w:t>
      </w:r>
      <w:r>
        <w:br/>
      </w:r>
      <w:r>
        <w:br/>
        <w:t>6.6 Propagule/Clone Documentation</w:t>
      </w:r>
      <w:r>
        <w:br/>
        <w:t xml:space="preserve">   If using clones/propagules:</w:t>
      </w:r>
      <w:r>
        <w:br/>
        <w:t xml:space="preserve">   a. Document source nursery</w:t>
      </w:r>
      <w:r>
        <w:br/>
        <w:t xml:space="preserve">   b. Record variety/strain name</w:t>
      </w:r>
      <w:r>
        <w:br/>
        <w:t xml:space="preserve">   c. Obtain genetic verification if available</w:t>
      </w:r>
      <w:r>
        <w:br/>
        <w:t xml:space="preserve">   d. Document mother plant source</w:t>
      </w:r>
      <w:r>
        <w:br/>
        <w:t xml:space="preserve">   e. Maintain traceability records</w:t>
      </w:r>
      <w:r>
        <w:br/>
      </w:r>
      <w:r>
        <w:br/>
        <w:t>6.7 THC Testing of Source Material</w:t>
      </w:r>
      <w:r>
        <w:br/>
        <w:t xml:space="preserve">   • Request COA from seed supplier</w:t>
      </w:r>
      <w:r>
        <w:br/>
        <w:t xml:space="preserve">   • Look for low THC history</w:t>
      </w:r>
      <w:r>
        <w:br/>
        <w:t xml:space="preserve">   • Some suppliers provide genetic testing</w:t>
      </w:r>
      <w:r>
        <w:br/>
        <w:t xml:space="preserve">   • Consider testing seed lot before purchase</w:t>
      </w:r>
      <w:r>
        <w:br/>
        <w:t xml:space="preserve">   • Document all test results</w:t>
      </w:r>
      <w:r>
        <w:br/>
      </w:r>
      <w:r>
        <w:br/>
        <w:t>6.8 Planting Record Documentation</w:t>
      </w:r>
      <w:r>
        <w:br/>
        <w:t xml:space="preserve">   Link seed source to planted fields:</w:t>
      </w:r>
      <w:r>
        <w:br/>
        <w:t xml:space="preserve">   a. Record variety by field/lot</w:t>
      </w:r>
      <w:r>
        <w:br/>
        <w:t xml:space="preserve">   b. Document seed lot number used</w:t>
      </w:r>
      <w:r>
        <w:br/>
        <w:t xml:space="preserve">   c. Note planting date</w:t>
      </w:r>
      <w:r>
        <w:br/>
        <w:t xml:space="preserve">   d. Maintain maps showing varieties</w:t>
      </w:r>
      <w:r>
        <w:br/>
        <w:t xml:space="preserve">   e. Enable traceability from seed to harvest</w:t>
      </w:r>
      <w:r>
        <w:br/>
      </w:r>
      <w:r>
        <w:br/>
        <w:t>6.9 Reducing THC Compliance Risk</w:t>
      </w:r>
      <w:r>
        <w:br/>
        <w:t xml:space="preserve">   Best practices:</w:t>
      </w:r>
      <w:r>
        <w:br/>
        <w:t xml:space="preserve">   • Choose varieties with proven low THC</w:t>
      </w:r>
      <w:r>
        <w:br/>
        <w:t xml:space="preserve">   • Use certified/tested seed</w:t>
      </w:r>
      <w:r>
        <w:br/>
        <w:t xml:space="preserve">   • Avoid unknown or untested varieties</w:t>
      </w:r>
      <w:r>
        <w:br/>
        <w:t xml:space="preserve">   • Monitor plants during growth</w:t>
      </w:r>
      <w:r>
        <w:br/>
        <w:t xml:space="preserve">   • Consider informal testing before harvest</w:t>
      </w:r>
      <w:r>
        <w:br/>
        <w:t xml:space="preserve">   • Harvest at optimal time</w:t>
      </w:r>
      <w:r>
        <w:br/>
      </w:r>
      <w:r>
        <w:lastRenderedPageBreak/>
        <w:t>6.10 Record Keeping</w:t>
      </w:r>
      <w:r>
        <w:br/>
        <w:t xml:space="preserve">   • Seed supplier information</w:t>
      </w:r>
      <w:r>
        <w:br/>
        <w:t xml:space="preserve">   • Purchase documentation</w:t>
      </w:r>
      <w:r>
        <w:br/>
        <w:t xml:space="preserve">   • COAs for seed lots</w:t>
      </w:r>
      <w:r>
        <w:br/>
        <w:t xml:space="preserve">   • Planting records by variety</w:t>
      </w:r>
      <w:r>
        <w:br/>
        <w:t xml:space="preserve">   • Field maps with varieties</w:t>
      </w:r>
      <w:r>
        <w:br/>
        <w:t xml:space="preserve">   • Retain for minimum 3 years</w:t>
      </w:r>
    </w:p>
    <w:p w14:paraId="1899A0D7" w14:textId="77777777" w:rsidR="00F41B56" w:rsidRPr="00564092" w:rsidRDefault="00000000">
      <w:pPr>
        <w:rPr>
          <w:rFonts w:ascii="Palatino" w:hAnsi="Palatino"/>
        </w:rPr>
      </w:pPr>
      <w:r w:rsidRPr="00564092">
        <w:rPr>
          <w:rFonts w:ascii="Palatino" w:hAnsi="Palatino"/>
          <w:b/>
        </w:rPr>
        <w:t>7.</w:t>
      </w:r>
      <w:r w:rsidRPr="00564092">
        <w:rPr>
          <w:rFonts w:ascii="Palatino" w:hAnsi="Palatino"/>
          <w:b/>
        </w:rPr>
        <w:tab/>
        <w:t>References</w:t>
      </w:r>
    </w:p>
    <w:p w14:paraId="58BC12EC" w14:textId="77777777" w:rsidR="00F41B56" w:rsidRDefault="00000000">
      <w:r>
        <w:t>• NYS Hemp Grower Application Requirements: https://agriculture.ny.gov/plant-industry/hemp-grower-licensing</w:t>
      </w:r>
      <w:r>
        <w:br/>
        <w:t>• USDA Hemp Production Program: https://www.ams.usda.gov/rules-regulations/hemp</w:t>
      </w:r>
      <w:r>
        <w:br/>
        <w:t>• Cornell University Hemp Research: https://hemp.cals.cornell.edu/</w:t>
      </w:r>
      <w:r>
        <w:br/>
        <w:t>• Kentucky Hemp Variety Trials: https://www.kyagr.com/</w:t>
      </w:r>
      <w:r>
        <w:br/>
        <w:t>• Colorado Department of Agriculture Hemp: https://ag.colorado.gov/plants/hemp</w:t>
      </w:r>
    </w:p>
    <w:p w14:paraId="422ED821" w14:textId="77777777" w:rsidR="00F41B56" w:rsidRPr="00564092" w:rsidRDefault="00000000">
      <w:pPr>
        <w:rPr>
          <w:rFonts w:ascii="Palatino" w:hAnsi="Palatino"/>
        </w:rPr>
      </w:pPr>
      <w:r w:rsidRPr="00564092">
        <w:rPr>
          <w:rFonts w:ascii="Palatino" w:hAnsi="Palatino"/>
          <w:b/>
        </w:rPr>
        <w:t>8.</w:t>
      </w:r>
      <w:r w:rsidRPr="00564092">
        <w:rPr>
          <w:rFonts w:ascii="Palatino" w:hAnsi="Palatino"/>
          <w:b/>
        </w:rPr>
        <w:tab/>
        <w:t>Definitions</w:t>
      </w:r>
    </w:p>
    <w:p w14:paraId="1A262F26" w14:textId="77777777" w:rsidR="00F41B56" w:rsidRDefault="00000000">
      <w:r>
        <w:t>• Certified Seed: Seed meeting official certification standards</w:t>
      </w:r>
      <w:r>
        <w:br/>
        <w:t>• Variety: Genetically distinct type of hemp</w:t>
      </w:r>
      <w:r>
        <w:br/>
        <w:t>• Propagule: Plant part used for vegetative propagation</w:t>
      </w:r>
      <w:r>
        <w:br/>
        <w:t>• Seed Lot: Batch of seeds produced under uniform conditions</w:t>
      </w:r>
      <w:r>
        <w:br/>
        <w:t>• COA: Certificate of Analysis showing test results</w:t>
      </w:r>
      <w:r>
        <w:br/>
        <w:t>• Mother Plant: Plant used as source for clones</w:t>
      </w:r>
      <w:r>
        <w:br/>
        <w:t>• Germination Rate: Percentage of seeds expected to sprout</w:t>
      </w:r>
    </w:p>
    <w:p w14:paraId="45EB9162" w14:textId="77777777" w:rsidR="00F41B56" w:rsidRPr="00564092" w:rsidRDefault="00000000">
      <w:pPr>
        <w:rPr>
          <w:rFonts w:ascii="Palatino" w:hAnsi="Palatino"/>
        </w:rPr>
      </w:pPr>
      <w:r w:rsidRPr="00564092">
        <w:rPr>
          <w:rFonts w:ascii="Palatino" w:hAnsi="Palatino"/>
          <w:b/>
        </w:rPr>
        <w:t>9.</w:t>
      </w:r>
      <w:r w:rsidRPr="00564092">
        <w:rPr>
          <w:rFonts w:ascii="Palatino" w:hAnsi="Palatino"/>
          <w:b/>
        </w:rPr>
        <w:tab/>
        <w:t>Sources</w:t>
      </w:r>
    </w:p>
    <w:p w14:paraId="79352880" w14:textId="77777777" w:rsidR="00F41B56" w:rsidRDefault="00000000">
      <w:r>
        <w:t>Information for this SOP was obtained from:</w:t>
      </w:r>
      <w:r>
        <w:br/>
        <w:t>• NYS Department of Agriculture and Markets Hemp Program</w:t>
      </w:r>
      <w:r>
        <w:br/>
        <w:t xml:space="preserve">  https://agriculture.ny.gov/plant-industry/hemp-grower-licensing</w:t>
      </w:r>
      <w:r>
        <w:br/>
        <w:t>• USDA Agricultural Marketing Service Hemp Program</w:t>
      </w:r>
      <w:r>
        <w:br/>
        <w:t xml:space="preserve">  https://www.ams.usda.gov/rules-regulations/hemp</w:t>
      </w:r>
      <w:r>
        <w:br/>
        <w:t>• Cornell University Hemp Extension</w:t>
      </w:r>
      <w:r>
        <w:br/>
        <w:t xml:space="preserve">  https://hemp.cals.cornell.edu/</w:t>
      </w:r>
      <w:r>
        <w:br/>
        <w:t>• Colorado Department of Agriculture Hemp Program</w:t>
      </w:r>
      <w:r>
        <w:br/>
        <w:t xml:space="preserve">  https://ag.colorado.gov/plants/hemp</w:t>
      </w:r>
      <w:r>
        <w:br/>
      </w:r>
      <w:r>
        <w:lastRenderedPageBreak/>
        <w:t>• Kentucky Hemp State Cannabis Overview</w:t>
      </w:r>
      <w:r>
        <w:br/>
        <w:t xml:space="preserve">  https://kentuckystatecannabis.org/hemp</w:t>
      </w:r>
    </w:p>
    <w:p w14:paraId="7DF3C8EE" w14:textId="77777777" w:rsidR="00F41B56" w:rsidRDefault="00F41B56"/>
    <w:p w14:paraId="0C704E19" w14:textId="77777777" w:rsidR="00F41B56" w:rsidRPr="00564092" w:rsidRDefault="00000000">
      <w:pPr>
        <w:rPr>
          <w:rFonts w:ascii="Palatino" w:hAnsi="Palatino"/>
        </w:rPr>
      </w:pPr>
      <w:r w:rsidRPr="00564092">
        <w:rPr>
          <w:rFonts w:ascii="Palatino" w:hAnsi="Palatino"/>
          <w:b/>
          <w:sz w:val="24"/>
        </w:rPr>
        <w:t>Related SOPs and Cross-References</w:t>
      </w:r>
    </w:p>
    <w:p w14:paraId="4B70BD78" w14:textId="77777777" w:rsidR="00F41B56" w:rsidRDefault="00000000">
      <w:r>
        <w:rPr>
          <w:b/>
        </w:rPr>
        <w:t xml:space="preserve">Category: </w:t>
      </w:r>
      <w:r>
        <w:t>PRODUCTION - RECOMMENDATION FROM OTHER STATES</w:t>
      </w:r>
    </w:p>
    <w:p w14:paraId="3F217AC3" w14:textId="77777777" w:rsidR="00F41B56" w:rsidRDefault="00000000">
      <w:r>
        <w:t>The following SOPs are related to this procedure:</w:t>
      </w:r>
    </w:p>
    <w:p w14:paraId="026F6056" w14:textId="77777777" w:rsidR="00F41B56" w:rsidRDefault="00000000">
      <w:pPr>
        <w:pStyle w:val="ListBullet"/>
      </w:pPr>
      <w:r>
        <w:rPr>
          <w:b/>
        </w:rPr>
        <w:t>SOP-004: Planting Report Submission</w:t>
      </w:r>
      <w:r>
        <w:t xml:space="preserve"> - NYS report varieties planted</w:t>
      </w:r>
    </w:p>
    <w:p w14:paraId="05CF8063" w14:textId="77777777" w:rsidR="00F41B56" w:rsidRDefault="00000000">
      <w:pPr>
        <w:pStyle w:val="ListBullet"/>
      </w:pPr>
      <w:r>
        <w:rPr>
          <w:b/>
        </w:rPr>
        <w:t>SOP-005: Pre-Harvest Sampling and THC Testing</w:t>
      </w:r>
      <w:r>
        <w:t xml:space="preserve"> - NYS variety affects THC risk</w:t>
      </w:r>
    </w:p>
    <w:p w14:paraId="047D11D7" w14:textId="77777777" w:rsidR="00F41B56" w:rsidRDefault="00000000">
      <w:pPr>
        <w:pStyle w:val="ListBullet"/>
      </w:pPr>
      <w:r>
        <w:rPr>
          <w:b/>
        </w:rPr>
        <w:t>SOP-001: Hemp Grower License Application</w:t>
      </w:r>
      <w:r>
        <w:t xml:space="preserve"> - NYS varieties listed on application</w:t>
      </w:r>
    </w:p>
    <w:p w14:paraId="4D220E3B" w14:textId="77777777" w:rsidR="00F41B56" w:rsidRDefault="00F41B56"/>
    <w:p w14:paraId="2E88D3AA" w14:textId="77777777" w:rsidR="00F41B56" w:rsidRDefault="00000000">
      <w:r>
        <w:rPr>
          <w:b/>
        </w:rPr>
        <w:t xml:space="preserve">Note: </w:t>
      </w:r>
      <w:r>
        <w:t>This SOP is part of a comprehensive hemp compliance system. SOPs marked "(OTHER STATES)" contain recommendations from other state programs and are suggestions, not NYS requirements. Always review related SOPs to ensure complete compliance.</w:t>
      </w:r>
    </w:p>
    <w:sectPr w:rsidR="00F41B56" w:rsidSect="00564092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C0F66" w14:textId="77777777" w:rsidR="009B5C9D" w:rsidRDefault="009B5C9D" w:rsidP="00564092">
      <w:pPr>
        <w:spacing w:after="0" w:line="240" w:lineRule="auto"/>
      </w:pPr>
      <w:r>
        <w:separator/>
      </w:r>
    </w:p>
  </w:endnote>
  <w:endnote w:type="continuationSeparator" w:id="0">
    <w:p w14:paraId="30BAB7DB" w14:textId="77777777" w:rsidR="009B5C9D" w:rsidRDefault="009B5C9D" w:rsidP="00564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7729570"/>
      <w:docPartObj>
        <w:docPartGallery w:val="Page Numbers (Bottom of Page)"/>
        <w:docPartUnique/>
      </w:docPartObj>
    </w:sdtPr>
    <w:sdtContent>
      <w:p w14:paraId="2A1C1429" w14:textId="75B62474" w:rsidR="00564092" w:rsidRDefault="00564092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C537E2A" w14:textId="77777777" w:rsidR="00564092" w:rsidRDefault="00564092" w:rsidP="0056409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164779"/>
      <w:docPartObj>
        <w:docPartGallery w:val="Page Numbers (Bottom of Page)"/>
        <w:docPartUnique/>
      </w:docPartObj>
    </w:sdtPr>
    <w:sdtContent>
      <w:p w14:paraId="253667C0" w14:textId="43029016" w:rsidR="00564092" w:rsidRDefault="00564092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6A64F21" w14:textId="77777777" w:rsidR="00564092" w:rsidRDefault="00564092" w:rsidP="0056409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F9D5A" w14:textId="77777777" w:rsidR="009B5C9D" w:rsidRDefault="009B5C9D" w:rsidP="00564092">
      <w:pPr>
        <w:spacing w:after="0" w:line="240" w:lineRule="auto"/>
      </w:pPr>
      <w:r>
        <w:separator/>
      </w:r>
    </w:p>
  </w:footnote>
  <w:footnote w:type="continuationSeparator" w:id="0">
    <w:p w14:paraId="225EBC42" w14:textId="77777777" w:rsidR="009B5C9D" w:rsidRDefault="009B5C9D" w:rsidP="00564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23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ook w:val="0000" w:firstRow="0" w:lastRow="0" w:firstColumn="0" w:lastColumn="0" w:noHBand="0" w:noVBand="0"/>
    </w:tblPr>
    <w:tblGrid>
      <w:gridCol w:w="2696"/>
      <w:gridCol w:w="2680"/>
      <w:gridCol w:w="2414"/>
      <w:gridCol w:w="1433"/>
    </w:tblGrid>
    <w:tr w:rsidR="00564092" w:rsidRPr="0080671D" w14:paraId="37195F68" w14:textId="77777777" w:rsidTr="00E074E7">
      <w:trPr>
        <w:trHeight w:val="360"/>
      </w:trPr>
      <w:tc>
        <w:tcPr>
          <w:tcW w:w="1620" w:type="dxa"/>
          <w:vMerge w:val="restart"/>
          <w:vAlign w:val="center"/>
        </w:tcPr>
        <w:p w14:paraId="4194DE21" w14:textId="77777777" w:rsidR="00564092" w:rsidRPr="0080671D" w:rsidRDefault="00564092" w:rsidP="00564092">
          <w:pPr>
            <w:pStyle w:val="Header"/>
            <w:jc w:val="cent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noProof/>
              <w:sz w:val="18"/>
              <w:szCs w:val="18"/>
            </w:rPr>
          </w:r>
        </w:p>
      </w:tc>
      <w:tc>
        <w:tcPr>
          <w:tcW w:w="3060" w:type="dxa"/>
          <w:vMerge w:val="restart"/>
          <w:vAlign w:val="center"/>
        </w:tcPr>
        <w:p w14:paraId="071A63BF" w14:textId="77777777" w:rsidR="00564092" w:rsidRPr="0080671D" w:rsidRDefault="00564092" w:rsidP="00564092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Department</w:t>
          </w:r>
        </w:p>
        <w:p w14:paraId="1A713C01" w14:textId="77777777" w:rsidR="00564092" w:rsidRPr="0080671D" w:rsidRDefault="00564092" w:rsidP="00564092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Division/Function</w:t>
          </w:r>
        </w:p>
      </w:tc>
      <w:tc>
        <w:tcPr>
          <w:tcW w:w="2700" w:type="dxa"/>
          <w:vAlign w:val="center"/>
        </w:tcPr>
        <w:p w14:paraId="0517ACE3" w14:textId="77777777" w:rsidR="00564092" w:rsidRPr="0080671D" w:rsidRDefault="00564092" w:rsidP="00564092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#</w:t>
          </w:r>
        </w:p>
      </w:tc>
      <w:tc>
        <w:tcPr>
          <w:tcW w:w="1843" w:type="dxa"/>
          <w:vAlign w:val="center"/>
        </w:tcPr>
        <w:p w14:paraId="78502E9E" w14:textId="3D2043EA" w:rsidR="00564092" w:rsidRPr="0080671D" w:rsidRDefault="00564092" w:rsidP="00564092">
          <w:pPr>
            <w:pStyle w:val="Header"/>
            <w:rPr>
              <w:rFonts w:ascii="Palatino" w:hAnsi="Palatino" w:cs="Arial"/>
              <w:sz w:val="18"/>
              <w:szCs w:val="18"/>
            </w:rPr>
          </w:pPr>
          <w:r>
            <w:rPr>
              <w:rFonts w:ascii="Palatino" w:hAnsi="Palatino" w:cs="Arial"/>
              <w:sz w:val="18"/>
              <w:szCs w:val="18"/>
            </w:rPr>
            <w:t>19</w:t>
          </w:r>
        </w:p>
      </w:tc>
    </w:tr>
    <w:tr w:rsidR="00564092" w:rsidRPr="0080671D" w14:paraId="01F07730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636DE3EF" w14:textId="77777777" w:rsidR="00564092" w:rsidRPr="0080671D" w:rsidRDefault="00564092" w:rsidP="00564092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09CE28C9" w14:textId="77777777" w:rsidR="00564092" w:rsidRPr="0080671D" w:rsidRDefault="00564092" w:rsidP="00564092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44FF5C25" w14:textId="77777777" w:rsidR="00564092" w:rsidRPr="0080671D" w:rsidRDefault="00564092" w:rsidP="00564092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Revision #</w:t>
          </w:r>
        </w:p>
      </w:tc>
      <w:tc>
        <w:tcPr>
          <w:tcW w:w="1843" w:type="dxa"/>
          <w:vAlign w:val="center"/>
        </w:tcPr>
        <w:p w14:paraId="137EC8F7" w14:textId="77777777" w:rsidR="00564092" w:rsidRPr="0080671D" w:rsidRDefault="00564092" w:rsidP="00564092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564092" w:rsidRPr="0080671D" w14:paraId="0F7CE6C3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01191C8C" w14:textId="77777777" w:rsidR="00564092" w:rsidRPr="0080671D" w:rsidRDefault="00564092" w:rsidP="00564092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3B68CB81" w14:textId="77777777" w:rsidR="00564092" w:rsidRPr="0080671D" w:rsidRDefault="00564092" w:rsidP="00564092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3E53D785" w14:textId="77777777" w:rsidR="00564092" w:rsidRPr="0080671D" w:rsidRDefault="00564092" w:rsidP="00564092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Implementation Date</w:t>
          </w:r>
        </w:p>
      </w:tc>
      <w:tc>
        <w:tcPr>
          <w:tcW w:w="1843" w:type="dxa"/>
          <w:vAlign w:val="center"/>
        </w:tcPr>
        <w:p w14:paraId="317FD0E0" w14:textId="77777777" w:rsidR="00564092" w:rsidRPr="0080671D" w:rsidRDefault="00564092" w:rsidP="00564092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564092" w:rsidRPr="0080671D" w14:paraId="7DE19176" w14:textId="77777777" w:rsidTr="00E074E7">
      <w:trPr>
        <w:trHeight w:val="360"/>
      </w:trPr>
      <w:tc>
        <w:tcPr>
          <w:tcW w:w="1620" w:type="dxa"/>
          <w:vAlign w:val="center"/>
        </w:tcPr>
        <w:p w14:paraId="45AD81F5" w14:textId="77777777" w:rsidR="00564092" w:rsidRPr="0080671D" w:rsidRDefault="00564092" w:rsidP="00564092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gram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Page  #</w:t>
          </w:r>
          <w:proofErr w:type="gramEnd"/>
        </w:p>
      </w:tc>
      <w:tc>
        <w:tcPr>
          <w:tcW w:w="3060" w:type="dxa"/>
          <w:vAlign w:val="center"/>
        </w:tcPr>
        <w:p w14:paraId="2C5F79E8" w14:textId="77777777" w:rsidR="00564092" w:rsidRPr="0080671D" w:rsidRDefault="00564092" w:rsidP="00564092">
          <w:pPr>
            <w:pStyle w:val="Head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sz w:val="18"/>
              <w:szCs w:val="18"/>
            </w:rPr>
            <w:fldChar w:fldCharType="begin"/>
          </w:r>
          <w:r w:rsidRPr="0080671D">
            <w:rPr>
              <w:rFonts w:ascii="Palatino" w:hAnsi="Palatino" w:cs="Arial"/>
              <w:sz w:val="18"/>
              <w:szCs w:val="18"/>
            </w:rPr>
            <w:instrText xml:space="preserve"> PAGE </w:instrTex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separate"/>
          </w:r>
          <w:r w:rsidRPr="0080671D">
            <w:rPr>
              <w:rFonts w:ascii="Palatino" w:hAnsi="Palatino" w:cs="Arial"/>
              <w:noProof/>
              <w:sz w:val="18"/>
              <w:szCs w:val="18"/>
            </w:rPr>
            <w:t>1</w: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end"/>
          </w:r>
          <w:r w:rsidRPr="0080671D">
            <w:rPr>
              <w:rFonts w:ascii="Palatino" w:hAnsi="Palatino" w:cs="Arial"/>
              <w:sz w:val="18"/>
              <w:szCs w:val="18"/>
            </w:rPr>
            <w:t xml:space="preserve"> of </w:t>
          </w:r>
          <w:r>
            <w:rPr>
              <w:rFonts w:ascii="Palatino" w:hAnsi="Palatino" w:cs="Arial"/>
              <w:sz w:val="18"/>
              <w:szCs w:val="18"/>
            </w:rPr>
            <w:t>5</w:t>
          </w:r>
        </w:p>
      </w:tc>
      <w:tc>
        <w:tcPr>
          <w:tcW w:w="2700" w:type="dxa"/>
          <w:vAlign w:val="center"/>
        </w:tcPr>
        <w:p w14:paraId="65D49451" w14:textId="77777777" w:rsidR="00564092" w:rsidRPr="0080671D" w:rsidRDefault="00564092" w:rsidP="00564092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Last Reviewed/Update Date</w:t>
          </w:r>
        </w:p>
      </w:tc>
      <w:tc>
        <w:tcPr>
          <w:tcW w:w="1843" w:type="dxa"/>
          <w:vAlign w:val="center"/>
        </w:tcPr>
        <w:p w14:paraId="274ADBDE" w14:textId="77777777" w:rsidR="00564092" w:rsidRPr="0080671D" w:rsidRDefault="00564092" w:rsidP="00564092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564092" w:rsidRPr="0080671D" w14:paraId="05419EB9" w14:textId="77777777" w:rsidTr="00E074E7">
      <w:trPr>
        <w:trHeight w:val="360"/>
      </w:trPr>
      <w:tc>
        <w:tcPr>
          <w:tcW w:w="1620" w:type="dxa"/>
          <w:vAlign w:val="center"/>
        </w:tcPr>
        <w:p w14:paraId="51965673" w14:textId="77777777" w:rsidR="00564092" w:rsidRPr="0080671D" w:rsidRDefault="00564092" w:rsidP="00564092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Owner</w:t>
          </w:r>
        </w:p>
      </w:tc>
      <w:tc>
        <w:tcPr>
          <w:tcW w:w="3060" w:type="dxa"/>
          <w:vAlign w:val="center"/>
        </w:tcPr>
        <w:p w14:paraId="0F7F59EA" w14:textId="77777777" w:rsidR="00564092" w:rsidRPr="0080671D" w:rsidRDefault="00564092" w:rsidP="00564092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23A91B35" w14:textId="77777777" w:rsidR="00564092" w:rsidRPr="0080671D" w:rsidRDefault="00564092" w:rsidP="00564092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Approval</w:t>
          </w:r>
        </w:p>
      </w:tc>
      <w:tc>
        <w:tcPr>
          <w:tcW w:w="1843" w:type="dxa"/>
          <w:vAlign w:val="center"/>
        </w:tcPr>
        <w:p w14:paraId="298598BF" w14:textId="77777777" w:rsidR="00564092" w:rsidRPr="0080671D" w:rsidRDefault="00564092" w:rsidP="00564092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</w:tbl>
  <w:p w14:paraId="08679740" w14:textId="77777777" w:rsidR="00564092" w:rsidRDefault="005640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82847">
    <w:abstractNumId w:val="8"/>
  </w:num>
  <w:num w:numId="2" w16cid:durableId="924458251">
    <w:abstractNumId w:val="6"/>
  </w:num>
  <w:num w:numId="3" w16cid:durableId="888607514">
    <w:abstractNumId w:val="5"/>
  </w:num>
  <w:num w:numId="4" w16cid:durableId="1920552369">
    <w:abstractNumId w:val="4"/>
  </w:num>
  <w:num w:numId="5" w16cid:durableId="410733584">
    <w:abstractNumId w:val="7"/>
  </w:num>
  <w:num w:numId="6" w16cid:durableId="240068754">
    <w:abstractNumId w:val="3"/>
  </w:num>
  <w:num w:numId="7" w16cid:durableId="748504014">
    <w:abstractNumId w:val="2"/>
  </w:num>
  <w:num w:numId="8" w16cid:durableId="1754080341">
    <w:abstractNumId w:val="1"/>
  </w:num>
  <w:num w:numId="9" w16cid:durableId="87776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0A36"/>
    <w:rsid w:val="00564092"/>
    <w:rsid w:val="009B5C9D"/>
    <w:rsid w:val="00AA1D8D"/>
    <w:rsid w:val="00B47730"/>
    <w:rsid w:val="00CB0664"/>
    <w:rsid w:val="00F41B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7CD384"/>
  <w14:defaultImageDpi w14:val="300"/>
  <w15:docId w15:val="{2B1661F8-0E76-374B-9FAE-0F30316F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5640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Vergara</cp:lastModifiedBy>
  <cp:revision>2</cp:revision>
  <dcterms:created xsi:type="dcterms:W3CDTF">2013-12-23T23:15:00Z</dcterms:created>
  <dcterms:modified xsi:type="dcterms:W3CDTF">2026-02-04T16:30:00Z</dcterms:modified>
  <cp:category/>
</cp:coreProperties>
</file>