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 Sex Reversal and Feminization in Cannabis sativa</w:t>
      </w:r>
    </w:p>
    <w:p/>
    <w:tbl>
      <w:tblPr>
        <w:tblStyle w:val="TableGrid"/>
        <w:tblW w:type="auto" w:w="0"/>
        <w:tblLook w:firstColumn="1" w:firstRow="1" w:lastColumn="0" w:lastRow="0" w:noHBand="0" w:noVBand="1" w:val="04A0"/>
      </w:tblPr>
      <w:tblGrid>
        <w:gridCol w:w="4320"/>
        <w:gridCol w:w="4320"/>
      </w:tblGrid>
      <w:tr>
        <w:tc>
          <w:tcPr>
            <w:tcW w:type="dxa" w:w="4320"/>
          </w:tcPr>
          <w:p>
            <w:r>
              <w:rPr>
                <w:sz w:val="20"/>
              </w:rPr>
              <w:t>SOP Number:</w:t>
            </w:r>
          </w:p>
        </w:tc>
        <w:tc>
          <w:tcPr>
            <w:tcW w:type="dxa" w:w="4320"/>
          </w:tcPr>
          <w:p>
            <w:r>
              <w:rPr>
                <w:sz w:val="20"/>
              </w:rPr>
              <w:t>SOP-OCM-[XXX]</w:t>
            </w:r>
          </w:p>
        </w:tc>
      </w:tr>
      <w:tr>
        <w:tc>
          <w:tcPr>
            <w:tcW w:type="dxa" w:w="4320"/>
          </w:tcPr>
          <w:p>
            <w:r>
              <w:rPr>
                <w:sz w:val="20"/>
              </w:rPr>
              <w:t>Version:</w:t>
            </w:r>
          </w:p>
        </w:tc>
        <w:tc>
          <w:tcPr>
            <w:tcW w:type="dxa" w:w="4320"/>
          </w:tcPr>
          <w:p>
            <w:r>
              <w:rPr>
                <w:sz w:val="20"/>
              </w:rPr>
              <w:t>1.0</w:t>
            </w:r>
          </w:p>
        </w:tc>
      </w:tr>
      <w:tr>
        <w:tc>
          <w:tcPr>
            <w:tcW w:type="dxa" w:w="4320"/>
          </w:tcPr>
          <w:p>
            <w:r>
              <w:rPr>
                <w:sz w:val="20"/>
              </w:rPr>
              <w:t>Date:</w:t>
            </w:r>
          </w:p>
        </w:tc>
        <w:tc>
          <w:tcPr>
            <w:tcW w:type="dxa" w:w="4320"/>
          </w:tcPr>
          <w:p>
            <w:r>
              <w:rPr>
                <w:sz w:val="20"/>
              </w:rPr>
              <w:t>March 2026</w:t>
            </w:r>
          </w:p>
        </w:tc>
      </w:tr>
      <w:tr>
        <w:tc>
          <w:tcPr>
            <w:tcW w:type="dxa" w:w="4320"/>
          </w:tcPr>
          <w:p>
            <w:r>
              <w:rPr>
                <w:sz w:val="20"/>
              </w:rPr>
              <w:t>Author:</w:t>
            </w:r>
          </w:p>
        </w:tc>
        <w:tc>
          <w:tcPr>
            <w:tcW w:type="dxa" w:w="4320"/>
          </w:tcPr>
          <w:p>
            <w:r>
              <w:rPr>
                <w:sz w:val="20"/>
              </w:rPr>
              <w:t>Daniela Vergara</w:t>
            </w:r>
          </w:p>
        </w:tc>
      </w:tr>
      <w:tr>
        <w:tc>
          <w:tcPr>
            <w:tcW w:type="dxa" w:w="4320"/>
          </w:tcPr>
          <w:p>
            <w:r>
              <w:rPr>
                <w:sz w:val="20"/>
              </w:rPr>
              <w:t>Reviewed By:</w:t>
            </w:r>
          </w:p>
        </w:tc>
        <w:tc>
          <w:tcPr>
            <w:tcW w:type="dxa" w:w="4320"/>
          </w:tcPr>
          <w:p>
            <w:r>
              <w:rPr>
                <w:sz w:val="20"/>
              </w:rPr>
              <w:t>[Name/Title]</w:t>
            </w:r>
          </w:p>
        </w:tc>
      </w:tr>
    </w:tbl>
    <w:p/>
    <w:p>
      <w:pPr>
        <w:pStyle w:val="Heading2"/>
      </w:pPr>
      <w:r>
        <w:t>1.   Purpose</w:t>
      </w:r>
    </w:p>
    <w:p>
      <w:r>
        <w:t>This SOP describes the procedures for chemically inducing sex reversal in Cannabis sativa L. to produce feminized seeds (seeds devoid of the Y chromosome). It covers the two primary approaches: (1) masculinization of genetically female (XX) plants using silver-based compounds or gibberellic acid to generate viable pollen for self-pollination or crossing onto other females, and (2) feminization of genetically male (XY) plants using ethylene-releasing compounds. The goal is to standardize the production of high-quality feminized seed stock for cannabinoid, grain, and fiber hemp cultivation.</w:t>
      </w:r>
    </w:p>
    <w:p/>
    <w:p>
      <w:pPr>
        <w:pStyle w:val="Heading2"/>
      </w:pPr>
      <w:r>
        <w:t>2.   Scope</w:t>
      </w:r>
    </w:p>
    <w:p>
      <w:r>
        <w:t>This SOP is intended for researchers, breeders, and growers performing sex reversal and feminized seed production at licensed cannabis cultivation and research facilities. It applies to dioecious C. sativa cultivars used in cannabinoid (marijuana-type) and hemp breeding programs.</w:t>
      </w:r>
    </w:p>
    <w:p/>
    <w:p>
      <w:pPr>
        <w:pStyle w:val="Heading2"/>
      </w:pPr>
      <w:r>
        <w:t>3.   Prerequisites</w:t>
      </w:r>
    </w:p>
    <w:p>
      <w:r>
        <w:t>Prior to performing this SOP, personnel should be familiar with:</w:t>
      </w:r>
    </w:p>
    <w:p>
      <w:pPr>
        <w:pStyle w:val="ListBullet"/>
      </w:pPr>
      <w:r>
        <w:t>Basic Cannabis sativa cultivation practices (vegetative and flowering stages, photoperiod management)</w:t>
      </w:r>
    </w:p>
    <w:p>
      <w:pPr>
        <w:pStyle w:val="ListBullet"/>
      </w:pPr>
      <w:r>
        <w:t>Plant sex determination in C. sativa (molecular markers such as MADC2, CSP-1-FAM; see SOP # [Molecular Sex Determination])</w:t>
      </w:r>
    </w:p>
    <w:p>
      <w:pPr>
        <w:pStyle w:val="ListBullet"/>
      </w:pPr>
      <w:r>
        <w:t>General greenhouse chemical handling and personal protective equipment (PPE) protocols</w:t>
      </w:r>
    </w:p>
    <w:p>
      <w:pPr>
        <w:pStyle w:val="ListBullet"/>
      </w:pPr>
      <w:r>
        <w:t>Relevant institutional and regulatory requirements for working with cannabis</w:t>
      </w:r>
    </w:p>
    <w:p/>
    <w:p>
      <w:pPr>
        <w:pStyle w:val="Heading2"/>
      </w:pPr>
      <w:r>
        <w:t>4.   Responsibilities</w:t>
      </w:r>
    </w:p>
    <w:p>
      <w:r>
        <w:t>Key personnel with primary roles in this SOP include:</w:t>
      </w:r>
    </w:p>
    <w:p>
      <w:pPr>
        <w:pStyle w:val="ListBullet"/>
      </w:pPr>
      <w:r>
        <w:t>Principal Investigator / Lead Breeder: Designs the sex reversal experiment, selects target genotypes, and interprets results.</w:t>
      </w:r>
    </w:p>
    <w:p>
      <w:pPr>
        <w:pStyle w:val="ListBullet"/>
      </w:pPr>
      <w:r>
        <w:t>Lab Technician / Research Assistant: Prepares solutions, applies treatments, monitors plant response, and records data.</w:t>
      </w:r>
    </w:p>
    <w:p>
      <w:pPr>
        <w:pStyle w:val="ListBullet"/>
      </w:pPr>
      <w:r>
        <w:t>Greenhouse Manager: Maintains the controlled environment (temperature, humidity, photoperiod) during the treatment period.</w:t>
      </w:r>
    </w:p>
    <w:p/>
    <w:p>
      <w:pPr>
        <w:pStyle w:val="Heading2"/>
      </w:pPr>
      <w:r>
        <w:t>5.   Materials</w:t>
      </w:r>
    </w:p>
    <w:p>
      <w:pPr>
        <w:pStyle w:val="Heading3"/>
      </w:pPr>
      <w:r>
        <w:t>5.1  Chemicals and Reagents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Compound</w:t>
            </w:r>
          </w:p>
        </w:tc>
        <w:tc>
          <w:tcPr>
            <w:tcW w:type="dxa" w:w="2160"/>
          </w:tcPr>
          <w:p>
            <w:r>
              <w:rPr>
                <w:b/>
              </w:rPr>
              <w:t>Application</w:t>
            </w:r>
          </w:p>
        </w:tc>
        <w:tc>
          <w:tcPr>
            <w:tcW w:type="dxa" w:w="2160"/>
          </w:tcPr>
          <w:p>
            <w:r>
              <w:rPr>
                <w:b/>
              </w:rPr>
              <w:t>Concentration/Amount</w:t>
            </w:r>
          </w:p>
        </w:tc>
        <w:tc>
          <w:tcPr>
            <w:tcW w:type="dxa" w:w="2160"/>
          </w:tcPr>
          <w:p>
            <w:r>
              <w:rPr>
                <w:b/>
              </w:rPr>
              <w:t>Notes</w:t>
            </w:r>
          </w:p>
        </w:tc>
      </w:tr>
      <w:tr>
        <w:tc>
          <w:tcPr>
            <w:tcW w:type="dxa" w:w="2160"/>
          </w:tcPr>
          <w:p>
            <w:r>
              <w:rPr>
                <w:sz w:val="18"/>
              </w:rPr>
              <w:t>Silver thiosulfate (STS)</w:t>
              <w:br/>
              <w:t>[Na₃Ag(S₂O₃)₂]</w:t>
            </w:r>
          </w:p>
        </w:tc>
        <w:tc>
          <w:tcPr>
            <w:tcW w:type="dxa" w:w="2160"/>
          </w:tcPr>
          <w:p>
            <w:r>
              <w:rPr>
                <w:sz w:val="18"/>
              </w:rPr>
              <w:t>Masculinization of XX female plants (feminized seed production)</w:t>
            </w:r>
          </w:p>
        </w:tc>
        <w:tc>
          <w:tcPr>
            <w:tcW w:type="dxa" w:w="2160"/>
          </w:tcPr>
          <w:p>
            <w:r>
              <w:rPr>
                <w:sz w:val="18"/>
              </w:rPr>
              <w:t>0.3 mM (preferred) or 3 mM</w:t>
              <w:br/>
              <w:t>~20 mL per plant per application</w:t>
            </w:r>
          </w:p>
        </w:tc>
        <w:tc>
          <w:tcPr>
            <w:tcW w:type="dxa" w:w="2160"/>
          </w:tcPr>
          <w:p>
            <w:r>
              <w:rPr>
                <w:sz w:val="18"/>
              </w:rPr>
              <w:t>Must be prepared fresh before use. Signs of degradation: sulfur odor, black precipitate, discoloration. Whole-plant spray more effective than flower-tip only.</w:t>
            </w:r>
          </w:p>
        </w:tc>
      </w:tr>
      <w:tr>
        <w:tc>
          <w:tcPr>
            <w:tcW w:type="dxa" w:w="2160"/>
          </w:tcPr>
          <w:p>
            <w:r>
              <w:rPr>
                <w:sz w:val="18"/>
              </w:rPr>
              <w:t>Silver nitrate (AgNO₃)</w:t>
            </w:r>
          </w:p>
        </w:tc>
        <w:tc>
          <w:tcPr>
            <w:tcW w:type="dxa" w:w="2160"/>
          </w:tcPr>
          <w:p>
            <w:r>
              <w:rPr>
                <w:sz w:val="18"/>
              </w:rPr>
              <w:t>Masculinization of XX female plants</w:t>
            </w:r>
          </w:p>
        </w:tc>
        <w:tc>
          <w:tcPr>
            <w:tcW w:type="dxa" w:w="2160"/>
          </w:tcPr>
          <w:p>
            <w:r>
              <w:rPr>
                <w:sz w:val="18"/>
              </w:rPr>
              <w:t>50–150 μg; 150 μg most effective</w:t>
            </w:r>
          </w:p>
        </w:tc>
        <w:tc>
          <w:tcPr>
            <w:tcW w:type="dxa" w:w="2160"/>
          </w:tcPr>
          <w:p>
            <w:r>
              <w:rPr>
                <w:sz w:val="18"/>
              </w:rPr>
              <w:t>Phytotoxic; STS preferred. Both produce viable pollen in reversed individuals.</w:t>
            </w:r>
          </w:p>
        </w:tc>
      </w:tr>
      <w:tr>
        <w:tc>
          <w:tcPr>
            <w:tcW w:type="dxa" w:w="2160"/>
          </w:tcPr>
          <w:p>
            <w:r>
              <w:rPr>
                <w:sz w:val="18"/>
              </w:rPr>
              <w:t>Gibberellic acid (GA₃)</w:t>
            </w:r>
          </w:p>
        </w:tc>
        <w:tc>
          <w:tcPr>
            <w:tcW w:type="dxa" w:w="2160"/>
          </w:tcPr>
          <w:p>
            <w:r>
              <w:rPr>
                <w:sz w:val="18"/>
              </w:rPr>
              <w:t>Masculinization of XX female plants; cannabinoid studies</w:t>
            </w:r>
          </w:p>
        </w:tc>
        <w:tc>
          <w:tcPr>
            <w:tcW w:type="dxa" w:w="2160"/>
          </w:tcPr>
          <w:p>
            <w:r>
              <w:rPr>
                <w:sz w:val="18"/>
              </w:rPr>
              <w:t>100 μg (sex reversal); 5–100 μM (cannabinoid effects)</w:t>
            </w:r>
          </w:p>
        </w:tc>
        <w:tc>
          <w:tcPr>
            <w:tcW w:type="dxa" w:w="2160"/>
          </w:tcPr>
          <w:p>
            <w:r>
              <w:rPr>
                <w:sz w:val="18"/>
              </w:rPr>
              <w:t>Do not follow with ABA if male flowers are desired — ABA inhibits GA-induced male flower formation.</w:t>
            </w:r>
          </w:p>
        </w:tc>
      </w:tr>
      <w:tr>
        <w:tc>
          <w:tcPr>
            <w:tcW w:type="dxa" w:w="2160"/>
          </w:tcPr>
          <w:p>
            <w:r>
              <w:rPr>
                <w:sz w:val="18"/>
              </w:rPr>
              <w:t>Aminoethoxy-vinyl-glycine (AVG)</w:t>
            </w:r>
          </w:p>
        </w:tc>
        <w:tc>
          <w:tcPr>
            <w:tcW w:type="dxa" w:w="2160"/>
          </w:tcPr>
          <w:p>
            <w:r>
              <w:rPr>
                <w:sz w:val="18"/>
              </w:rPr>
              <w:t>Masculinization of XX female plants</w:t>
            </w:r>
          </w:p>
        </w:tc>
        <w:tc>
          <w:tcPr>
            <w:tcW w:type="dxa" w:w="2160"/>
          </w:tcPr>
          <w:p>
            <w:r>
              <w:rPr>
                <w:sz w:val="18"/>
              </w:rPr>
              <w:t>100 μg</w:t>
            </w:r>
          </w:p>
        </w:tc>
        <w:tc>
          <w:tcPr>
            <w:tcW w:type="dxa" w:w="2160"/>
          </w:tcPr>
          <w:p>
            <w:r>
              <w:rPr>
                <w:sz w:val="18"/>
              </w:rPr>
              <w:t>Ethylene biosynthesis inhibitor.</w:t>
            </w:r>
          </w:p>
        </w:tc>
      </w:tr>
      <w:tr>
        <w:tc>
          <w:tcPr>
            <w:tcW w:type="dxa" w:w="2160"/>
          </w:tcPr>
          <w:p>
            <w:r>
              <w:rPr>
                <w:sz w:val="18"/>
              </w:rPr>
              <w:t>Ethephon (Ethrel)</w:t>
            </w:r>
          </w:p>
        </w:tc>
        <w:tc>
          <w:tcPr>
            <w:tcW w:type="dxa" w:w="2160"/>
          </w:tcPr>
          <w:p>
            <w:r>
              <w:rPr>
                <w:sz w:val="18"/>
              </w:rPr>
              <w:t>Feminization of XY male plants; female flower induction</w:t>
            </w:r>
          </w:p>
        </w:tc>
        <w:tc>
          <w:tcPr>
            <w:tcW w:type="dxa" w:w="2160"/>
          </w:tcPr>
          <w:p>
            <w:r>
              <w:rPr>
                <w:sz w:val="18"/>
              </w:rPr>
              <w:t>240–960 ppm (960 ppm highest feminization of males)</w:t>
              <w:br/>
              <w:t>420–1660 μM for monoecious hemp</w:t>
              <w:br/>
              <w:t>500 mg/L for female flowers on males</w:t>
            </w:r>
          </w:p>
        </w:tc>
        <w:tc>
          <w:tcPr>
            <w:tcW w:type="dxa" w:w="2160"/>
          </w:tcPr>
          <w:p>
            <w:r>
              <w:rPr>
                <w:sz w:val="18"/>
              </w:rPr>
              <w:t>Apply early — shortly after floral primordia formation for maximum effect. In monoecious hemp increases female flower production; in dioecious males decreases feminization.</w:t>
            </w:r>
          </w:p>
        </w:tc>
      </w:tr>
      <w:tr>
        <w:tc>
          <w:tcPr>
            <w:tcW w:type="dxa" w:w="2160"/>
          </w:tcPr>
          <w:p>
            <w:r>
              <w:rPr>
                <w:sz w:val="18"/>
              </w:rPr>
              <w:t>Indole-3-acetic acid (IAA)</w:t>
            </w:r>
          </w:p>
        </w:tc>
        <w:tc>
          <w:tcPr>
            <w:tcW w:type="dxa" w:w="2160"/>
          </w:tcPr>
          <w:p>
            <w:r>
              <w:rPr>
                <w:sz w:val="18"/>
              </w:rPr>
              <w:t>Feminization of XY male plants</w:t>
            </w:r>
          </w:p>
        </w:tc>
        <w:tc>
          <w:tcPr>
            <w:tcW w:type="dxa" w:w="2160"/>
          </w:tcPr>
          <w:p>
            <w:r>
              <w:rPr>
                <w:sz w:val="18"/>
              </w:rPr>
              <w:t>See literature; auxin promotes female organs on XY plants</w:t>
            </w:r>
          </w:p>
        </w:tc>
        <w:tc>
          <w:tcPr>
            <w:tcW w:type="dxa" w:w="2160"/>
          </w:tcPr>
          <w:p>
            <w:r>
              <w:rPr>
                <w:sz w:val="18"/>
              </w:rPr>
              <w:t>Also increases feminization in XX plants under exogenous application.</w:t>
            </w:r>
          </w:p>
        </w:tc>
      </w:tr>
      <w:tr>
        <w:tc>
          <w:tcPr>
            <w:tcW w:type="dxa" w:w="2160"/>
          </w:tcPr>
          <w:p>
            <w:r>
              <w:rPr>
                <w:sz w:val="18"/>
              </w:rPr>
              <w:t>Kinetin / Cytokinin</w:t>
            </w:r>
          </w:p>
        </w:tc>
        <w:tc>
          <w:tcPr>
            <w:tcW w:type="dxa" w:w="2160"/>
          </w:tcPr>
          <w:p>
            <w:r>
              <w:rPr>
                <w:sz w:val="18"/>
              </w:rPr>
              <w:t>Feminization of XY male plants</w:t>
            </w:r>
          </w:p>
        </w:tc>
        <w:tc>
          <w:tcPr>
            <w:tcW w:type="dxa" w:w="2160"/>
          </w:tcPr>
          <w:p>
            <w:r>
              <w:rPr>
                <w:sz w:val="18"/>
              </w:rPr>
              <w:t>As per protocol</w:t>
            </w:r>
          </w:p>
        </w:tc>
        <w:tc>
          <w:tcPr>
            <w:tcW w:type="dxa" w:w="2160"/>
          </w:tcPr>
          <w:p>
            <w:r>
              <w:rPr>
                <w:sz w:val="18"/>
              </w:rPr>
              <w:t>Cytokinin induces feminization in genetically male C. sativa.</w:t>
            </w:r>
          </w:p>
        </w:tc>
      </w:tr>
      <w:tr>
        <w:tc>
          <w:tcPr>
            <w:tcW w:type="dxa" w:w="2160"/>
          </w:tcPr>
          <w:p>
            <w:r>
              <w:rPr>
                <w:sz w:val="18"/>
              </w:rPr>
              <w:t>Abscisic acid (ABA)</w:t>
            </w:r>
          </w:p>
        </w:tc>
        <w:tc>
          <w:tcPr>
            <w:tcW w:type="dxa" w:w="2160"/>
          </w:tcPr>
          <w:p>
            <w:r>
              <w:rPr>
                <w:sz w:val="18"/>
              </w:rPr>
              <w:t>Inhibits male flower formation; used after GA treatment to block masculinization</w:t>
            </w:r>
          </w:p>
        </w:tc>
        <w:tc>
          <w:tcPr>
            <w:tcW w:type="dxa" w:w="2160"/>
          </w:tcPr>
          <w:p>
            <w:r>
              <w:rPr>
                <w:sz w:val="18"/>
              </w:rPr>
              <w:t>As per protocol</w:t>
            </w:r>
          </w:p>
        </w:tc>
        <w:tc>
          <w:tcPr>
            <w:tcW w:type="dxa" w:w="2160"/>
          </w:tcPr>
          <w:p>
            <w:r>
              <w:rPr>
                <w:sz w:val="18"/>
              </w:rPr>
              <w:t>When plants are treated with GA followed by ABA, male flowers do not form.</w:t>
            </w:r>
          </w:p>
        </w:tc>
      </w:tr>
      <w:tr>
        <w:tc>
          <w:tcPr>
            <w:tcW w:type="dxa" w:w="2160"/>
          </w:tcPr>
          <w:p>
            <w:r>
              <w:rPr>
                <w:sz w:val="18"/>
              </w:rPr>
              <w:t>Distilled water</w:t>
            </w:r>
          </w:p>
        </w:tc>
        <w:tc>
          <w:tcPr>
            <w:tcW w:type="dxa" w:w="2160"/>
          </w:tcPr>
          <w:p>
            <w:r>
              <w:rPr>
                <w:sz w:val="18"/>
              </w:rPr>
              <w:t>Solvent for all spray solutions</w:t>
            </w:r>
          </w:p>
        </w:tc>
        <w:tc>
          <w:tcPr>
            <w:tcW w:type="dxa" w:w="2160"/>
          </w:tcPr>
          <w:p>
            <w:r>
              <w:rPr>
                <w:sz w:val="18"/>
              </w:rPr>
              <w:t>As needed</w:t>
            </w:r>
          </w:p>
        </w:tc>
        <w:tc>
          <w:tcPr>
            <w:tcW w:type="dxa" w:w="2160"/>
          </w:tcPr>
          <w:p>
            <w:r>
              <w:rPr>
                <w:sz w:val="18"/>
              </w:rPr>
              <w:t>Use for all solution preparations.</w:t>
            </w:r>
          </w:p>
        </w:tc>
      </w:tr>
    </w:tbl>
    <w:p/>
    <w:p>
      <w:pPr>
        <w:pStyle w:val="Heading3"/>
      </w:pPr>
      <w:r>
        <w:t>5.2  Equipment and Supplies</w:t>
      </w:r>
    </w:p>
    <w:p>
      <w:pPr>
        <w:pStyle w:val="ListBullet"/>
      </w:pPr>
      <w:r>
        <w:t>Handheld spray bottle or pressurized sprayer (fine mist)</w:t>
      </w:r>
    </w:p>
    <w:p>
      <w:pPr>
        <w:pStyle w:val="ListBullet"/>
      </w:pPr>
      <w:r>
        <w:t>Analytical balance (for precise chemical weighing)</w:t>
      </w:r>
    </w:p>
    <w:p>
      <w:pPr>
        <w:pStyle w:val="ListBullet"/>
      </w:pPr>
      <w:r>
        <w:t>Volumetric flasks and graduated cylinders</w:t>
      </w:r>
    </w:p>
    <w:p>
      <w:pPr>
        <w:pStyle w:val="ListBullet"/>
      </w:pPr>
      <w:r>
        <w:t>Personal protective equipment: nitrile gloves, safety glasses, lab coat</w:t>
      </w:r>
    </w:p>
    <w:p>
      <w:pPr>
        <w:pStyle w:val="ListBullet"/>
      </w:pPr>
      <w:r>
        <w:t>Fume hood or well-ventilated area for solution preparation</w:t>
      </w:r>
    </w:p>
    <w:p>
      <w:pPr>
        <w:pStyle w:val="ListBullet"/>
      </w:pPr>
      <w:r>
        <w:t>Labels and permanent markers</w:t>
      </w:r>
    </w:p>
    <w:p>
      <w:pPr>
        <w:pStyle w:val="ListBullet"/>
      </w:pPr>
      <w:r>
        <w:t>Greenhouse or growth chamber with programmable photoperiod (16:8 and 8:16 capability)</w:t>
      </w:r>
    </w:p>
    <w:p>
      <w:pPr>
        <w:pStyle w:val="ListBullet"/>
      </w:pPr>
      <w:r>
        <w:t>Plant stakes and labels for individual plant tracking</w:t>
      </w:r>
    </w:p>
    <w:p>
      <w:pPr>
        <w:pStyle w:val="ListBullet"/>
      </w:pPr>
      <w:r>
        <w:t>Paper bags or pollination bags (for pollen collection)</w:t>
      </w:r>
    </w:p>
    <w:p>
      <w:pPr>
        <w:pStyle w:val="ListBullet"/>
      </w:pPr>
      <w:r>
        <w:t>Forceps and brushes (for manual pollination)</w:t>
      </w:r>
    </w:p>
    <w:p>
      <w:pPr>
        <w:pStyle w:val="ListBullet"/>
      </w:pPr>
      <w:r>
        <w:t>Data recording sheets or electronic notebook</w:t>
      </w:r>
    </w:p>
    <w:p/>
    <w:p>
      <w:pPr>
        <w:pStyle w:val="Heading3"/>
      </w:pPr>
      <w:r>
        <w:t>5.3  Plant Material</w:t>
      </w:r>
    </w:p>
    <w:p>
      <w:r>
        <w:t>Healthy, confirmed-female (XX) or confirmed-male (XY) C. sativa plants verified by molecular sex markers (e.g., MADC2, CSP-1-FAM). For feminized seed production via sex reversal of females, use plants that are:</w:t>
      </w:r>
    </w:p>
    <w:p>
      <w:pPr>
        <w:pStyle w:val="ListBullet"/>
      </w:pPr>
      <w:r>
        <w:t>Approximately 6 inches (~15 cm) in height</w:t>
      </w:r>
    </w:p>
    <w:p>
      <w:pPr>
        <w:pStyle w:val="ListBullet"/>
      </w:pPr>
      <w:r>
        <w:t>In vegetative stage with at least 2 well-developed shoots</w:t>
      </w:r>
    </w:p>
    <w:p>
      <w:pPr>
        <w:pStyle w:val="ListBullet"/>
      </w:pPr>
      <w:r>
        <w:t>Healthy, free of disease or pest infestations</w:t>
      </w:r>
    </w:p>
    <w:p>
      <w:pPr>
        <w:pStyle w:val="ListBullet"/>
      </w:pPr>
      <w:r>
        <w:t>Under long-day photoperiod (16 h light : 8 h dark)</w:t>
      </w:r>
    </w:p>
    <w:p/>
    <w:p>
      <w:pPr>
        <w:pStyle w:val="Heading2"/>
      </w:pPr>
      <w:r>
        <w:t>6.   Procedure</w:t>
      </w:r>
    </w:p>
    <w:p>
      <w:pPr>
        <w:pStyle w:val="Heading3"/>
      </w:pPr>
      <w:r>
        <w:t>6.1  Method A — Masculinization of Female (XX) Plants Using Silver Thiosulfate (STS) for Feminized Seed Production</w:t>
      </w:r>
    </w:p>
    <w:p>
      <w:r>
        <w:t>This is the recommended method for producing feminized seeds. STS blocks ethylene action, causing genetically female (XX) plants to produce staminate (male) flowers with viable pollen. The pollen is then used to fertilize other female plants or the reversed plant itself, producing seeds lacking a Y chromosome ("feminized seeds").</w:t>
      </w:r>
    </w:p>
    <w:p>
      <w:pPr>
        <w:pStyle w:val="Heading4"/>
      </w:pPr>
      <w:r>
        <w:t>Solution Preparation</w:t>
      </w:r>
    </w:p>
    <w:p>
      <w:r>
        <w:rPr>
          <w:b/>
        </w:rPr>
        <w:t xml:space="preserve">IMPORTANT: </w:t>
      </w:r>
      <w:r>
        <w:t>Prepare STS solution fresh on the day of application. Do not use stored STS that shows any sulfur odor, black precipitate, or container discoloration — these indicate degradation and loss of efficacy.</w:t>
      </w:r>
    </w:p>
    <w:p/>
    <w:p>
      <w:pPr>
        <w:pStyle w:val="ListNumber"/>
      </w:pPr>
      <w:r>
        <w:t>Step 1: Weigh silver thiosulfate (Na₃Ag(S₂O₃)₂) to prepare a 0.3 mM solution (preferred) or 3 mM solution in distilled water.</w:t>
      </w:r>
    </w:p>
    <w:p>
      <w:pPr>
        <w:pStyle w:val="ListNumber"/>
      </w:pPr>
      <w:r>
        <w:t>Step 2: Mix thoroughly until fully dissolved.</w:t>
      </w:r>
    </w:p>
    <w:p>
      <w:pPr>
        <w:pStyle w:val="ListNumber"/>
      </w:pPr>
      <w:r>
        <w:t>Step 3: Pour into clean spray bottle immediately before use.</w:t>
      </w:r>
    </w:p>
    <w:p>
      <w:pPr>
        <w:pStyle w:val="ListNumber"/>
      </w:pPr>
      <w:r>
        <w:t>Step 4: Label with compound name, concentration, date of preparation, and preparer initials.</w:t>
      </w:r>
    </w:p>
    <w:p>
      <w:pPr>
        <w:pStyle w:val="Heading4"/>
      </w:pPr>
      <w:r>
        <w:t>Application Protocol</w:t>
      </w:r>
    </w:p>
    <w:p>
      <w:pPr>
        <w:pStyle w:val="ListNumber"/>
      </w:pPr>
      <w:r>
        <w:t>Step 1: Confirm target plants are female (XX) by molecular markers before treatment begins.</w:t>
      </w:r>
    </w:p>
    <w:p>
      <w:pPr>
        <w:pStyle w:val="ListNumber"/>
      </w:pPr>
      <w:r>
        <w:t>Step 2: Ensure plants are at the correct stage: ~6 in. (15 cm) tall, in vegetative stage, with at least 2 shoots, under 16:8 (light:dark) long-day photoperiod.</w:t>
      </w:r>
    </w:p>
    <w:p>
      <w:pPr>
        <w:pStyle w:val="ListNumber"/>
      </w:pPr>
      <w:r>
        <w:t>Step 3: Day 0 (Week 1): Apply foliar spray of STS (~20 mL per plant) as a fine mist covering all shoot surfaces (leaves, stems, and growing tips). Whole-plant application is more effective than applying only to flower tips.</w:t>
      </w:r>
    </w:p>
    <w:p>
      <w:pPr>
        <w:pStyle w:val="ListNumber"/>
      </w:pPr>
      <w:r>
        <w:t>Step 4: Day 7 (Week 2): Apply second foliar spray (~20 mL per plant) using freshly prepared STS.</w:t>
      </w:r>
    </w:p>
    <w:p>
      <w:pPr>
        <w:pStyle w:val="ListNumber"/>
      </w:pPr>
      <w:r>
        <w:t>Step 5: Day 14 (Week 3): Apply third and final foliar spray (~20 mL per plant) using freshly prepared STS.</w:t>
      </w:r>
    </w:p>
    <w:p>
      <w:pPr>
        <w:pStyle w:val="ListNumber"/>
      </w:pPr>
      <w:r>
        <w:t>Step 6: Day 14–21: After the 3rd spray (or simultaneously), transition plants to short-day photoperiod (8:16 light:dark) to induce flowering.</w:t>
      </w:r>
    </w:p>
    <w:p>
      <w:pPr>
        <w:pStyle w:val="ListNumber"/>
      </w:pPr>
      <w:r>
        <w:t>Step 7: Days 21–35: Monitor for emergence of staminate (male) flowers. Male flower structures (stamens) should begin appearing within 2–3 weeks after photoperiod switch. Note: timing may vary by variety.</w:t>
      </w:r>
    </w:p>
    <w:p>
      <w:pPr>
        <w:pStyle w:val="ListNumber"/>
      </w:pPr>
      <w:r>
        <w:t>Step 8: Days 35–50+: Collect pollen from reversed plants once anthers are mature (yellow/releasing pollen). Transfer pollen to paper bags.</w:t>
      </w:r>
    </w:p>
    <w:p>
      <w:pPr>
        <w:pStyle w:val="ListNumber"/>
      </w:pPr>
      <w:r>
        <w:t>Step 9: Pollination: Use collected pollen to fertilize other female plants or the reversed plant itself (self-pollination). Apply pollen to receptive female stigmas using a fine brush.</w:t>
      </w:r>
    </w:p>
    <w:p>
      <w:pPr>
        <w:pStyle w:val="ListNumber"/>
      </w:pPr>
      <w:r>
        <w:t>Step 10: Days 50–80+: Allow seeds to develop and mature on the pollinated female plant. Harvest seeds when calyxes have dried and seeds are fully formed.</w:t>
      </w:r>
    </w:p>
    <w:p>
      <w:pPr>
        <w:pStyle w:val="ListNumber"/>
      </w:pPr>
      <w:r>
        <w:t>Step 11: Record all observations including: date of each spray, plant ID, first sign of male flowers, pollen viability, seed set, germination rate if tested.</w:t>
      </w:r>
    </w:p>
    <w:p>
      <w:r>
        <w:rPr>
          <w:b/>
        </w:rPr>
        <w:t xml:space="preserve">Note on pollen quality: </w:t>
      </w:r>
      <w:r>
        <w:t>Pollen from sex-reversed females is functional but may be irregular in shape, misshapen, with lower germination rates compared to pollen from genetically male (XY) plants. This is expected and does not preclude successful feminized seed production. Germination rates of resulting seeds may also be lower than from XY male-pollinated seeds.</w:t>
      </w:r>
    </w:p>
    <w:p>
      <w:r>
        <w:rPr>
          <w:b/>
        </w:rPr>
        <w:t xml:space="preserve">Note on variety specificity: </w:t>
      </w:r>
      <w:r>
        <w:t>Male flower formation on female plants appears to be variety-specific. Some varieties respond more readily than others (Borthwick &amp; Scully, 1954; DiMatteo et al., 2020). Pilot tests with a small number of plants per variety are recommended before scaling up.</w:t>
      </w:r>
    </w:p>
    <w:p/>
    <w:p>
      <w:r>
        <w:t>Summary Timeline — Method A (STS Masculinization):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Day (Approximate)</w:t>
            </w:r>
          </w:p>
        </w:tc>
        <w:tc>
          <w:tcPr>
            <w:tcW w:type="dxa" w:w="2880"/>
          </w:tcPr>
          <w:p>
            <w:r>
              <w:rPr>
                <w:b/>
              </w:rPr>
              <w:t>Action</w:t>
            </w:r>
          </w:p>
        </w:tc>
        <w:tc>
          <w:tcPr>
            <w:tcW w:type="dxa" w:w="2880"/>
          </w:tcPr>
          <w:p>
            <w:r>
              <w:rPr>
                <w:b/>
              </w:rPr>
              <w:t>Notes</w:t>
            </w:r>
          </w:p>
        </w:tc>
      </w:tr>
      <w:tr>
        <w:tc>
          <w:tcPr>
            <w:tcW w:type="dxa" w:w="2880"/>
          </w:tcPr>
          <w:p>
            <w:r>
              <w:rPr>
                <w:sz w:val="18"/>
              </w:rPr>
              <w:t>Day 0 (before treatment)</w:t>
            </w:r>
          </w:p>
        </w:tc>
        <w:tc>
          <w:tcPr>
            <w:tcW w:type="dxa" w:w="2880"/>
          </w:tcPr>
          <w:p>
            <w:r>
              <w:rPr>
                <w:sz w:val="18"/>
              </w:rPr>
              <w:t>Confirm female identity with molecular markers (MADC2, CSP-1-FAM)</w:t>
            </w:r>
          </w:p>
        </w:tc>
        <w:tc>
          <w:tcPr>
            <w:tcW w:type="dxa" w:w="2880"/>
          </w:tcPr>
          <w:p>
            <w:r>
              <w:rPr>
                <w:sz w:val="18"/>
              </w:rPr>
              <w:t>Ensure plants are ~6 in., ≥2 shoots, vegetative stage, 16:8 photoperiod</w:t>
            </w:r>
          </w:p>
        </w:tc>
      </w:tr>
      <w:tr>
        <w:tc>
          <w:tcPr>
            <w:tcW w:type="dxa" w:w="2880"/>
          </w:tcPr>
          <w:p>
            <w:r>
              <w:rPr>
                <w:sz w:val="18"/>
              </w:rPr>
              <w:t>Day 0</w:t>
            </w:r>
          </w:p>
        </w:tc>
        <w:tc>
          <w:tcPr>
            <w:tcW w:type="dxa" w:w="2880"/>
          </w:tcPr>
          <w:p>
            <w:r>
              <w:rPr>
                <w:sz w:val="18"/>
              </w:rPr>
              <w:t>1st STS foliar spray (~20 mL/plant)</w:t>
            </w:r>
          </w:p>
        </w:tc>
        <w:tc>
          <w:tcPr>
            <w:tcW w:type="dxa" w:w="2880"/>
          </w:tcPr>
          <w:p>
            <w:r>
              <w:rPr>
                <w:sz w:val="18"/>
              </w:rPr>
              <w:t>Use fresh solution; whole-plant application</w:t>
            </w:r>
          </w:p>
        </w:tc>
      </w:tr>
      <w:tr>
        <w:tc>
          <w:tcPr>
            <w:tcW w:type="dxa" w:w="2880"/>
          </w:tcPr>
          <w:p>
            <w:r>
              <w:rPr>
                <w:sz w:val="18"/>
              </w:rPr>
              <w:t>Day 7</w:t>
            </w:r>
          </w:p>
        </w:tc>
        <w:tc>
          <w:tcPr>
            <w:tcW w:type="dxa" w:w="2880"/>
          </w:tcPr>
          <w:p>
            <w:r>
              <w:rPr>
                <w:sz w:val="18"/>
              </w:rPr>
              <w:t>2nd STS foliar spray (~20 mL/plant)</w:t>
            </w:r>
          </w:p>
        </w:tc>
        <w:tc>
          <w:tcPr>
            <w:tcW w:type="dxa" w:w="2880"/>
          </w:tcPr>
          <w:p>
            <w:r>
              <w:rPr>
                <w:sz w:val="18"/>
              </w:rPr>
              <w:t>Prepare fresh solution day-of</w:t>
            </w:r>
          </w:p>
        </w:tc>
      </w:tr>
      <w:tr>
        <w:tc>
          <w:tcPr>
            <w:tcW w:type="dxa" w:w="2880"/>
          </w:tcPr>
          <w:p>
            <w:r>
              <w:rPr>
                <w:sz w:val="18"/>
              </w:rPr>
              <w:t>Day 14</w:t>
            </w:r>
          </w:p>
        </w:tc>
        <w:tc>
          <w:tcPr>
            <w:tcW w:type="dxa" w:w="2880"/>
          </w:tcPr>
          <w:p>
            <w:r>
              <w:rPr>
                <w:sz w:val="18"/>
              </w:rPr>
              <w:t>3rd STS foliar spray (~20 mL/plant)</w:t>
            </w:r>
          </w:p>
        </w:tc>
        <w:tc>
          <w:tcPr>
            <w:tcW w:type="dxa" w:w="2880"/>
          </w:tcPr>
          <w:p>
            <w:r>
              <w:rPr>
                <w:sz w:val="18"/>
              </w:rPr>
              <w:t>Prepare fresh solution day-of</w:t>
            </w:r>
          </w:p>
        </w:tc>
      </w:tr>
      <w:tr>
        <w:tc>
          <w:tcPr>
            <w:tcW w:type="dxa" w:w="2880"/>
          </w:tcPr>
          <w:p>
            <w:r>
              <w:rPr>
                <w:sz w:val="18"/>
              </w:rPr>
              <w:t>Day 14–21</w:t>
            </w:r>
          </w:p>
        </w:tc>
        <w:tc>
          <w:tcPr>
            <w:tcW w:type="dxa" w:w="2880"/>
          </w:tcPr>
          <w:p>
            <w:r>
              <w:rPr>
                <w:sz w:val="18"/>
              </w:rPr>
              <w:t>Switch to short-day photoperiod (8:16)</w:t>
            </w:r>
          </w:p>
        </w:tc>
        <w:tc>
          <w:tcPr>
            <w:tcW w:type="dxa" w:w="2880"/>
          </w:tcPr>
          <w:p>
            <w:r>
              <w:rPr>
                <w:sz w:val="18"/>
              </w:rPr>
              <w:t>To induce floral transition</w:t>
            </w:r>
          </w:p>
        </w:tc>
      </w:tr>
      <w:tr>
        <w:tc>
          <w:tcPr>
            <w:tcW w:type="dxa" w:w="2880"/>
          </w:tcPr>
          <w:p>
            <w:r>
              <w:rPr>
                <w:sz w:val="18"/>
              </w:rPr>
              <w:t>Day 21–35</w:t>
            </w:r>
          </w:p>
        </w:tc>
        <w:tc>
          <w:tcPr>
            <w:tcW w:type="dxa" w:w="2880"/>
          </w:tcPr>
          <w:p>
            <w:r>
              <w:rPr>
                <w:sz w:val="18"/>
              </w:rPr>
              <w:t>Monitor for staminate flower emergence</w:t>
            </w:r>
          </w:p>
        </w:tc>
        <w:tc>
          <w:tcPr>
            <w:tcW w:type="dxa" w:w="2880"/>
          </w:tcPr>
          <w:p>
            <w:r>
              <w:rPr>
                <w:sz w:val="18"/>
              </w:rPr>
              <w:t>Record first visible male flower structures</w:t>
            </w:r>
          </w:p>
        </w:tc>
      </w:tr>
      <w:tr>
        <w:tc>
          <w:tcPr>
            <w:tcW w:type="dxa" w:w="2880"/>
          </w:tcPr>
          <w:p>
            <w:r>
              <w:rPr>
                <w:sz w:val="18"/>
              </w:rPr>
              <w:t>Day 35–50</w:t>
            </w:r>
          </w:p>
        </w:tc>
        <w:tc>
          <w:tcPr>
            <w:tcW w:type="dxa" w:w="2880"/>
          </w:tcPr>
          <w:p>
            <w:r>
              <w:rPr>
                <w:sz w:val="18"/>
              </w:rPr>
              <w:t>Collect pollen from reversed plants</w:t>
            </w:r>
          </w:p>
        </w:tc>
        <w:tc>
          <w:tcPr>
            <w:tcW w:type="dxa" w:w="2880"/>
          </w:tcPr>
          <w:p>
            <w:r>
              <w:rPr>
                <w:sz w:val="18"/>
              </w:rPr>
              <w:t>Store dry in paper bags at low temperature if not used immediately</w:t>
            </w:r>
          </w:p>
        </w:tc>
      </w:tr>
      <w:tr>
        <w:tc>
          <w:tcPr>
            <w:tcW w:type="dxa" w:w="2880"/>
          </w:tcPr>
          <w:p>
            <w:r>
              <w:rPr>
                <w:sz w:val="18"/>
              </w:rPr>
              <w:t>Day 35–50</w:t>
            </w:r>
          </w:p>
        </w:tc>
        <w:tc>
          <w:tcPr>
            <w:tcW w:type="dxa" w:w="2880"/>
          </w:tcPr>
          <w:p>
            <w:r>
              <w:rPr>
                <w:sz w:val="18"/>
              </w:rPr>
              <w:t>Pollinate target female plants</w:t>
            </w:r>
          </w:p>
        </w:tc>
        <w:tc>
          <w:tcPr>
            <w:tcW w:type="dxa" w:w="2880"/>
          </w:tcPr>
          <w:p>
            <w:r>
              <w:rPr>
                <w:sz w:val="18"/>
              </w:rPr>
              <w:t>Self-pollination or cross-pollination with other XX females</w:t>
            </w:r>
          </w:p>
        </w:tc>
      </w:tr>
      <w:tr>
        <w:tc>
          <w:tcPr>
            <w:tcW w:type="dxa" w:w="2880"/>
          </w:tcPr>
          <w:p>
            <w:r>
              <w:rPr>
                <w:sz w:val="18"/>
              </w:rPr>
              <w:t>Day 50–80+</w:t>
            </w:r>
          </w:p>
        </w:tc>
        <w:tc>
          <w:tcPr>
            <w:tcW w:type="dxa" w:w="2880"/>
          </w:tcPr>
          <w:p>
            <w:r>
              <w:rPr>
                <w:sz w:val="18"/>
              </w:rPr>
              <w:t>Monitor and harvest seeds</w:t>
            </w:r>
          </w:p>
        </w:tc>
        <w:tc>
          <w:tcPr>
            <w:tcW w:type="dxa" w:w="2880"/>
          </w:tcPr>
          <w:p>
            <w:r>
              <w:rPr>
                <w:sz w:val="18"/>
              </w:rPr>
              <w:t>Harvest when calyxes dried, seeds fully formed</w:t>
            </w:r>
          </w:p>
        </w:tc>
      </w:tr>
    </w:tbl>
    <w:p/>
    <w:p>
      <w:pPr>
        <w:pStyle w:val="Heading3"/>
      </w:pPr>
      <w:r>
        <w:t>6.2  Method B — Masculinization of Female (XX) Plants Using Silver Nitrate (AgNO₃)</w:t>
      </w:r>
    </w:p>
    <w:p>
      <w:r>
        <w:t>Silver nitrate can be used as an alternative to STS. It is phytotoxic at higher concentrations; therefore, STS (Method A) is preferred. However, both silver nitrate and STS produce male flowers with viable pollen capable of pollination (Mohan Ram &amp; Sett, 1982).</w:t>
      </w:r>
    </w:p>
    <w:p>
      <w:pPr>
        <w:pStyle w:val="ListNumber"/>
      </w:pPr>
      <w:r>
        <w:t>Step 1: Prepare AgNO₃ solution at 50, 100, or 150 μg/mL in distilled water. The 150 μg/mL concentration is most effective for male flower induction.</w:t>
      </w:r>
    </w:p>
    <w:p>
      <w:pPr>
        <w:pStyle w:val="ListNumber"/>
      </w:pPr>
      <w:r>
        <w:t>Step 2: Apply as a foliar spray to vegetative-stage female plants (~15 cm, ≥2 shoots).</w:t>
      </w:r>
    </w:p>
    <w:p>
      <w:pPr>
        <w:pStyle w:val="ListNumber"/>
      </w:pPr>
      <w:r>
        <w:t>Step 3: Apply once per week for 3 weeks (same schedule as Method A).</w:t>
      </w:r>
    </w:p>
    <w:p>
      <w:pPr>
        <w:pStyle w:val="ListNumber"/>
      </w:pPr>
      <w:r>
        <w:t>Step 4: Switch to short-day photoperiod (8:16) after the 3rd application.</w:t>
      </w:r>
    </w:p>
    <w:p>
      <w:pPr>
        <w:pStyle w:val="ListNumber"/>
      </w:pPr>
      <w:r>
        <w:t>Step 5: Monitor, collect pollen, and pollinate as in Method A (Steps 7–11 above).</w:t>
      </w:r>
    </w:p>
    <w:p>
      <w:pPr>
        <w:pStyle w:val="ListNumber"/>
      </w:pPr>
      <w:r>
        <w:t>Step 6: CAUTION: Silver nitrate is more phytotoxic than STS. Observe plants closely for phytotoxicity signs (leaf burn, necrosis) and reduce concentration if needed.</w:t>
      </w:r>
    </w:p>
    <w:p/>
    <w:p>
      <w:pPr>
        <w:pStyle w:val="Heading3"/>
      </w:pPr>
      <w:r>
        <w:t>6.3  Method C — Masculinization of Female (XX) Plants Using Gibberellic Acid (GA₃)</w:t>
      </w:r>
    </w:p>
    <w:p>
      <w:r>
        <w:t>Gibberellic acid (GA₃) induces male flower formation on female plants by promoting stamen development. NOTE: GA also causes internode elongation on female plants, which is an expected side effect. Treating plants with GA followed by ABA will BLOCK male flower formation; do not apply ABA if the goal is sex reversal.</w:t>
      </w:r>
    </w:p>
    <w:p>
      <w:pPr>
        <w:pStyle w:val="ListNumber"/>
      </w:pPr>
      <w:r>
        <w:t>Step 1: Prepare GA₃ solution at 100 μg in distilled water.</w:t>
      </w:r>
    </w:p>
    <w:p>
      <w:pPr>
        <w:pStyle w:val="ListNumber"/>
      </w:pPr>
      <w:r>
        <w:t>Step 2: Apply to female plants at the vegetative stage as a foliar spray.</w:t>
      </w:r>
    </w:p>
    <w:p>
      <w:pPr>
        <w:pStyle w:val="ListNumber"/>
      </w:pPr>
      <w:r>
        <w:t>Step 3: Apply once per week for up to 3 weeks.</w:t>
      </w:r>
    </w:p>
    <w:p>
      <w:pPr>
        <w:pStyle w:val="ListNumber"/>
      </w:pPr>
      <w:r>
        <w:t>Step 4: Switch to short-day photoperiod (8:16) after the final application.</w:t>
      </w:r>
    </w:p>
    <w:p>
      <w:pPr>
        <w:pStyle w:val="ListNumber"/>
      </w:pPr>
      <w:r>
        <w:t>Step 5: Monitor for male flower emergence. Expect internode elongation alongside male flower production.</w:t>
      </w:r>
    </w:p>
    <w:p>
      <w:pPr>
        <w:pStyle w:val="ListNumber"/>
      </w:pPr>
      <w:r>
        <w:t>Step 6: Collect pollen and pollinate as in Method A.</w:t>
      </w:r>
    </w:p>
    <w:p>
      <w:pPr>
        <w:pStyle w:val="ListNumber"/>
      </w:pPr>
      <w:r>
        <w:t>Step 7: Do NOT apply ABA following GA₃ if masculinization is desired.</w:t>
      </w:r>
    </w:p>
    <w:p/>
    <w:p>
      <w:pPr>
        <w:pStyle w:val="Heading3"/>
      </w:pPr>
      <w:r>
        <w:t>6.4  Method D — Feminization of Male (XY) Plants Using Ethephon (Ethrel)</w:t>
      </w:r>
    </w:p>
    <w:p>
      <w:r>
        <w:t>Ethephon releases ethylene and manipulates auxin levels, inducing female flower formation on genetically male (XY) C. sativa plants. This method can also increase female flower proportion in monoecious hemp. IMPORTANT: In dioecious male (XY) plants, ethephon may decrease feminization if applied incorrectly; timing is critical.</w:t>
      </w:r>
    </w:p>
    <w:p>
      <w:pPr>
        <w:pStyle w:val="ListNumber"/>
      </w:pPr>
      <w:r>
        <w:t>Step 1: Prepare ethephon solution at 960 ppm (highest feminization effect for male plants) or at 500 mg/L for female flower induction on males. For monoecious hemp, use 420–1660 μM range.</w:t>
      </w:r>
    </w:p>
    <w:p>
      <w:pPr>
        <w:pStyle w:val="ListNumber"/>
      </w:pPr>
      <w:r>
        <w:t>Step 2: Begin treatment shortly after floral primordia formation (early induction maximizes female flower effect).</w:t>
      </w:r>
    </w:p>
    <w:p>
      <w:pPr>
        <w:pStyle w:val="ListNumber"/>
      </w:pPr>
      <w:r>
        <w:t>Step 3: Apply as a foliar spray to individual plants.</w:t>
      </w:r>
    </w:p>
    <w:p>
      <w:pPr>
        <w:pStyle w:val="ListNumber"/>
      </w:pPr>
      <w:r>
        <w:t>Step 4: Apply once per week for up to 3 applications.</w:t>
      </w:r>
    </w:p>
    <w:p>
      <w:pPr>
        <w:pStyle w:val="ListNumber"/>
      </w:pPr>
      <w:r>
        <w:t>Step 5: Monitor for emergence of female flowers (pistillate flowers with stigmas) on the treated male plant.</w:t>
      </w:r>
    </w:p>
    <w:p>
      <w:pPr>
        <w:pStyle w:val="ListNumber"/>
      </w:pPr>
      <w:r>
        <w:t>Step 6: Note: Seeds produced by ethephon-treated males may be smaller with lower germination rates compared to seed from untreated females.</w:t>
      </w:r>
    </w:p>
    <w:p>
      <w:pPr>
        <w:pStyle w:val="ListNumber"/>
      </w:pPr>
      <w:r>
        <w:t>Step 7: Note: Ethephon treatment also modifies cannabinoid concentrations (increases THC at 10–100 μM), decreases plant height, and may increase crop uniformity. Record all phenotypic changes.</w:t>
      </w:r>
    </w:p>
    <w:p/>
    <w:p>
      <w:pPr>
        <w:pStyle w:val="Heading3"/>
      </w:pPr>
      <w:r>
        <w:t>6.5  Post-Treatment Monitoring and Data Recording</w:t>
      </w:r>
    </w:p>
    <w:p>
      <w:r>
        <w:t>For all methods, record the following data at each observation point: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Observation Timepoint</w:t>
            </w:r>
          </w:p>
        </w:tc>
        <w:tc>
          <w:tcPr>
            <w:tcW w:type="dxa" w:w="2880"/>
          </w:tcPr>
          <w:p>
            <w:r>
              <w:rPr>
                <w:b/>
              </w:rPr>
              <w:t>What to Record</w:t>
            </w:r>
          </w:p>
        </w:tc>
        <w:tc>
          <w:tcPr>
            <w:tcW w:type="dxa" w:w="2880"/>
          </w:tcPr>
          <w:p>
            <w:r>
              <w:rPr>
                <w:b/>
              </w:rPr>
              <w:t>Frequency</w:t>
            </w:r>
          </w:p>
        </w:tc>
      </w:tr>
      <w:tr>
        <w:tc>
          <w:tcPr>
            <w:tcW w:type="dxa" w:w="2880"/>
          </w:tcPr>
          <w:p>
            <w:r>
              <w:rPr>
                <w:sz w:val="18"/>
              </w:rPr>
              <w:t>Day 0 (before treatment)</w:t>
            </w:r>
          </w:p>
        </w:tc>
        <w:tc>
          <w:tcPr>
            <w:tcW w:type="dxa" w:w="2880"/>
          </w:tcPr>
          <w:p>
            <w:r>
              <w:rPr>
                <w:sz w:val="18"/>
              </w:rPr>
              <w:t>Plant ID, height, number of shoots, sex confirmation marker result, photoperiod, temperature, humidity</w:t>
            </w:r>
          </w:p>
        </w:tc>
        <w:tc>
          <w:tcPr>
            <w:tcW w:type="dxa" w:w="2880"/>
          </w:tcPr>
          <w:p>
            <w:r>
              <w:rPr>
                <w:sz w:val="18"/>
              </w:rPr>
              <w:t>Once</w:t>
            </w:r>
          </w:p>
        </w:tc>
      </w:tr>
      <w:tr>
        <w:tc>
          <w:tcPr>
            <w:tcW w:type="dxa" w:w="2880"/>
          </w:tcPr>
          <w:p>
            <w:r>
              <w:rPr>
                <w:sz w:val="18"/>
              </w:rPr>
              <w:t>Each spray day (Days 0, 7, 14)</w:t>
            </w:r>
          </w:p>
        </w:tc>
        <w:tc>
          <w:tcPr>
            <w:tcW w:type="dxa" w:w="2880"/>
          </w:tcPr>
          <w:p>
            <w:r>
              <w:rPr>
                <w:sz w:val="18"/>
              </w:rPr>
              <w:t>Application time, volume applied, solution batch/concentration, plant condition, any phytotoxicity signs</w:t>
            </w:r>
          </w:p>
        </w:tc>
        <w:tc>
          <w:tcPr>
            <w:tcW w:type="dxa" w:w="2880"/>
          </w:tcPr>
          <w:p>
            <w:r>
              <w:rPr>
                <w:sz w:val="18"/>
              </w:rPr>
              <w:t>Each spray</w:t>
            </w:r>
          </w:p>
        </w:tc>
      </w:tr>
      <w:tr>
        <w:tc>
          <w:tcPr>
            <w:tcW w:type="dxa" w:w="2880"/>
          </w:tcPr>
          <w:p>
            <w:r>
              <w:rPr>
                <w:sz w:val="18"/>
              </w:rPr>
              <w:t>Day 14–21 (photoperiod switch)</w:t>
            </w:r>
          </w:p>
        </w:tc>
        <w:tc>
          <w:tcPr>
            <w:tcW w:type="dxa" w:w="2880"/>
          </w:tcPr>
          <w:p>
            <w:r>
              <w:rPr>
                <w:sz w:val="18"/>
              </w:rPr>
              <w:t>Date of switch, any immediate plant response</w:t>
            </w:r>
          </w:p>
        </w:tc>
        <w:tc>
          <w:tcPr>
            <w:tcW w:type="dxa" w:w="2880"/>
          </w:tcPr>
          <w:p>
            <w:r>
              <w:rPr>
                <w:sz w:val="18"/>
              </w:rPr>
              <w:t>Once</w:t>
            </w:r>
          </w:p>
        </w:tc>
      </w:tr>
      <w:tr>
        <w:tc>
          <w:tcPr>
            <w:tcW w:type="dxa" w:w="2880"/>
          </w:tcPr>
          <w:p>
            <w:r>
              <w:rPr>
                <w:sz w:val="18"/>
              </w:rPr>
              <w:t>Days 21–50</w:t>
            </w:r>
          </w:p>
        </w:tc>
        <w:tc>
          <w:tcPr>
            <w:tcW w:type="dxa" w:w="2880"/>
          </w:tcPr>
          <w:p>
            <w:r>
              <w:rPr>
                <w:sz w:val="18"/>
              </w:rPr>
              <w:t>First appearance of sex organ primordia, number of flowers per plant, pollen shedding (if applicable), flower morphology notes</w:t>
            </w:r>
          </w:p>
        </w:tc>
        <w:tc>
          <w:tcPr>
            <w:tcW w:type="dxa" w:w="2880"/>
          </w:tcPr>
          <w:p>
            <w:r>
              <w:rPr>
                <w:sz w:val="18"/>
              </w:rPr>
              <w:t>Every 3–5 days</w:t>
            </w:r>
          </w:p>
        </w:tc>
      </w:tr>
      <w:tr>
        <w:tc>
          <w:tcPr>
            <w:tcW w:type="dxa" w:w="2880"/>
          </w:tcPr>
          <w:p>
            <w:r>
              <w:rPr>
                <w:sz w:val="18"/>
              </w:rPr>
              <w:t>Pollen collection</w:t>
            </w:r>
          </w:p>
        </w:tc>
        <w:tc>
          <w:tcPr>
            <w:tcW w:type="dxa" w:w="2880"/>
          </w:tcPr>
          <w:p>
            <w:r>
              <w:rPr>
                <w:sz w:val="18"/>
              </w:rPr>
              <w:t>Date collected, volume/amount, viability test result (if performed), storage conditions</w:t>
            </w:r>
          </w:p>
        </w:tc>
        <w:tc>
          <w:tcPr>
            <w:tcW w:type="dxa" w:w="2880"/>
          </w:tcPr>
          <w:p>
            <w:r>
              <w:rPr>
                <w:sz w:val="18"/>
              </w:rPr>
              <w:t>At collection</w:t>
            </w:r>
          </w:p>
        </w:tc>
      </w:tr>
      <w:tr>
        <w:tc>
          <w:tcPr>
            <w:tcW w:type="dxa" w:w="2880"/>
          </w:tcPr>
          <w:p>
            <w:r>
              <w:rPr>
                <w:sz w:val="18"/>
              </w:rPr>
              <w:t>Pollination</w:t>
            </w:r>
          </w:p>
        </w:tc>
        <w:tc>
          <w:tcPr>
            <w:tcW w:type="dxa" w:w="2880"/>
          </w:tcPr>
          <w:p>
            <w:r>
              <w:rPr>
                <w:sz w:val="18"/>
              </w:rPr>
              <w:t>Date, method (self vs. cross), plant IDs involved</w:t>
            </w:r>
          </w:p>
        </w:tc>
        <w:tc>
          <w:tcPr>
            <w:tcW w:type="dxa" w:w="2880"/>
          </w:tcPr>
          <w:p>
            <w:r>
              <w:rPr>
                <w:sz w:val="18"/>
              </w:rPr>
              <w:t>At pollination</w:t>
            </w:r>
          </w:p>
        </w:tc>
      </w:tr>
      <w:tr>
        <w:tc>
          <w:tcPr>
            <w:tcW w:type="dxa" w:w="2880"/>
          </w:tcPr>
          <w:p>
            <w:r>
              <w:rPr>
                <w:sz w:val="18"/>
              </w:rPr>
              <w:t>Days 50–80+</w:t>
            </w:r>
          </w:p>
        </w:tc>
        <w:tc>
          <w:tcPr>
            <w:tcW w:type="dxa" w:w="2880"/>
          </w:tcPr>
          <w:p>
            <w:r>
              <w:rPr>
                <w:sz w:val="18"/>
              </w:rPr>
              <w:t>Seed set percentage, seed morphology, harvest date, seed weight</w:t>
            </w:r>
          </w:p>
        </w:tc>
        <w:tc>
          <w:tcPr>
            <w:tcW w:type="dxa" w:w="2880"/>
          </w:tcPr>
          <w:p>
            <w:r>
              <w:rPr>
                <w:sz w:val="18"/>
              </w:rPr>
              <w:t>At harvest</w:t>
            </w:r>
          </w:p>
        </w:tc>
      </w:tr>
      <w:tr>
        <w:tc>
          <w:tcPr>
            <w:tcW w:type="dxa" w:w="2880"/>
          </w:tcPr>
          <w:p>
            <w:r>
              <w:rPr>
                <w:sz w:val="18"/>
              </w:rPr>
              <w:t>Post-harvest</w:t>
            </w:r>
          </w:p>
        </w:tc>
        <w:tc>
          <w:tcPr>
            <w:tcW w:type="dxa" w:w="2880"/>
          </w:tcPr>
          <w:p>
            <w:r>
              <w:rPr>
                <w:sz w:val="18"/>
              </w:rPr>
              <w:t>Germination rate (% germination at 7 and 14 days), seedling sex ratio from feminized seeds</w:t>
            </w:r>
          </w:p>
        </w:tc>
        <w:tc>
          <w:tcPr>
            <w:tcW w:type="dxa" w:w="2880"/>
          </w:tcPr>
          <w:p>
            <w:r>
              <w:rPr>
                <w:sz w:val="18"/>
              </w:rPr>
              <w:t>At germination testing</w:t>
            </w:r>
          </w:p>
        </w:tc>
      </w:tr>
    </w:tbl>
    <w:p/>
    <w:p>
      <w:pPr>
        <w:pStyle w:val="Heading3"/>
      </w:pPr>
      <w:r>
        <w:t>6.6  Safety, Waste Disposal, and Environmental Precautions</w:t>
      </w:r>
    </w:p>
    <w:p>
      <w:pPr>
        <w:pStyle w:val="ListBullet"/>
      </w:pPr>
      <w:r>
        <w:t>Wear nitrile gloves, safety glasses, and a lab coat when preparing and applying all chemical solutions.</w:t>
      </w:r>
    </w:p>
    <w:p>
      <w:pPr>
        <w:pStyle w:val="ListBullet"/>
      </w:pPr>
      <w:r>
        <w:t>Prepare silver thiosulfate, silver nitrate, GA₃, and ethephon solutions in a well-ventilated area or fume hood.</w:t>
      </w:r>
    </w:p>
    <w:p>
      <w:pPr>
        <w:pStyle w:val="ListBullet"/>
      </w:pPr>
      <w:r>
        <w:t>Silver-based compounds (AgNO₃, STS) are toxic to aquatic organisms. Dispose of waste solutions according to institutional hazardous waste protocols — do not pour down sink drains.</w:t>
      </w:r>
    </w:p>
    <w:p>
      <w:pPr>
        <w:pStyle w:val="ListBullet"/>
      </w:pPr>
      <w:r>
        <w:t>Ethephon releases ethylene gas; avoid inhalation in enclosed spaces.</w:t>
      </w:r>
    </w:p>
    <w:p>
      <w:pPr>
        <w:pStyle w:val="ListBullet"/>
      </w:pPr>
      <w:r>
        <w:t>Label all solutions clearly with compound, concentration, date, and handler initials.</w:t>
      </w:r>
    </w:p>
    <w:p>
      <w:pPr>
        <w:pStyle w:val="ListBullet"/>
      </w:pPr>
      <w:r>
        <w:t>Contain treated plants to prevent unintended pollen escape to adjacent crops (use isolation rooms or barriers).</w:t>
      </w:r>
    </w:p>
    <w:p>
      <w:pPr>
        <w:pStyle w:val="ListBullet"/>
      </w:pPr>
      <w:r>
        <w:t>Dispose of used spray equipment by triple-rinsing with water; collect rinse water as chemical waste.</w:t>
      </w:r>
    </w:p>
    <w:p/>
    <w:p>
      <w:pPr>
        <w:pStyle w:val="Heading2"/>
      </w:pPr>
      <w:r>
        <w:t>7.   References</w:t>
      </w:r>
    </w:p>
    <w:p>
      <w:pPr>
        <w:pStyle w:val="ListNumber"/>
      </w:pPr>
      <w:r>
        <w:t>Baek, Y. &amp; Vergara, D. (2025). A review of sexual strategies in Cannabis sativa L. under genomic and environmental controls. Agrosystems, Geosciences &amp; Environment, 8, e70050. https://doi.org/10.1002/agg2.70050</w:t>
      </w:r>
    </w:p>
    <w:p>
      <w:pPr>
        <w:pStyle w:val="ListNumber"/>
      </w:pPr>
      <w:r>
        <w:t>Borthwick, H. &amp; Scully, N. (1954). Photoperiodic responses of hemp. Botanical Gazette, 116(1), 14–29.</w:t>
      </w:r>
    </w:p>
    <w:p>
      <w:pPr>
        <w:pStyle w:val="ListNumber"/>
      </w:pPr>
      <w:r>
        <w:t>DiMatteo, J., Kurtz, L., &amp; Lubell-Brand, J.D. (2020). Pollen appearance and in vitro germination varies for five strains of female hemp masculinized using silver thiosulfate. HortScience, 55(4), 547–549.</w:t>
      </w:r>
    </w:p>
    <w:p>
      <w:pPr>
        <w:pStyle w:val="ListNumber"/>
      </w:pPr>
      <w:r>
        <w:t>Flajšman, M., Slapnik, M., &amp; Murovec, J. (2021). Production of feminized seeds of high CBD Cannabis sativa L. by manipulation of sex expression and its application to breeding. Frontiers in Plant Science, 12, Article 718092.</w:t>
      </w:r>
    </w:p>
    <w:p>
      <w:pPr>
        <w:pStyle w:val="ListNumber"/>
      </w:pPr>
      <w:r>
        <w:t>Galoch, E. (1978). The hormonal control of sex differentiation in dioecious plants of hemp (Cannabis sativa). Acta Societatis Botanicorum Poloniae, 47(1–2), 153–162.</w:t>
      </w:r>
    </w:p>
    <w:p>
      <w:pPr>
        <w:pStyle w:val="ListNumber"/>
      </w:pPr>
      <w:r>
        <w:t>Lubell, J.D. &amp; Brand, M.H. (2018). Foliar application of silver thiosulfate produces male flowers on female Cannabis sativa plants. HortScience, 53(12), 1773–1776.</w:t>
      </w:r>
    </w:p>
    <w:p>
      <w:pPr>
        <w:pStyle w:val="ListNumber"/>
      </w:pPr>
      <w:r>
        <w:t>Mejía-Londoño, et al. (2023). [Aminoethoxy-vinyl-glycine, GA₃, 1-MCP, STS effects on sex reversal]. Reference per Table 4 in Baek &amp; Vergara (2025).</w:t>
      </w:r>
    </w:p>
    <w:p>
      <w:pPr>
        <w:pStyle w:val="ListNumber"/>
      </w:pPr>
      <w:r>
        <w:t>Moon, H.K. et al. (2020). Ethephon application and female flower morphology on male Cannabis sativa plants. [Per Table 4 in Baek &amp; Vergara (2025)].</w:t>
      </w:r>
    </w:p>
    <w:p>
      <w:pPr>
        <w:pStyle w:val="ListNumber"/>
      </w:pPr>
      <w:r>
        <w:t>Ram, H.Y.M. &amp; Jaiswal, V.S. (1970). Induction of male flowers on female plants of Cannabis sativa by gibberellins and its inhibition by a growth retardant. Planta, 105, 263–266.</w:t>
      </w:r>
    </w:p>
    <w:p>
      <w:pPr>
        <w:pStyle w:val="ListNumber"/>
      </w:pPr>
      <w:r>
        <w:t>Ram, H.Y.M. &amp; Jaiswal, V.S. (1972). Induction of female flowers on male plants of Cannabis sativa by 2-chloroethanephosphonic acid. Experientia, 28, 64–65.</w:t>
      </w:r>
    </w:p>
    <w:p>
      <w:pPr>
        <w:pStyle w:val="ListNumber"/>
      </w:pPr>
      <w:r>
        <w:t>Ram, H.Y.M. &amp; Sett, R. (1982). Induction of fertile male flowers in genetically female Cannabis sativa plants by silver nitrate and silver thiosulphate anionic complex. Theoretical and Applied Genetics, 62, 369–375.</w:t>
      </w:r>
    </w:p>
    <w:p>
      <w:pPr>
        <w:pStyle w:val="ListNumber"/>
      </w:pPr>
      <w:r>
        <w:t>Ruzgas, V. et al. (2024). Ethephon concentration effects on monoecious hemp sex expression and cannabinoid concentrations. [Per Table 4 in Baek &amp; Vergara (2025)].</w:t>
      </w:r>
    </w:p>
    <w:p>
      <w:pPr>
        <w:pStyle w:val="ListNumber"/>
      </w:pPr>
      <w:r>
        <w:t>Veen, H. (1983). Silver thiosulphate: An experimental tool in plant science. Scientia Horticulturae, 20(3), 211–224.</w:t>
      </w:r>
    </w:p>
    <w:p>
      <w:pPr>
        <w:pStyle w:val="ListNumber"/>
      </w:pPr>
      <w:r>
        <w:t>Vergara, D. et al. (2023). Feminized seeds in the cannabis industry. [Referenced in Baek &amp; Vergara, 2025].</w:t>
      </w:r>
    </w:p>
    <w:p/>
    <w:p>
      <w:pPr>
        <w:pStyle w:val="Heading2"/>
      </w:pPr>
      <w:r>
        <w:t>8.   Definitions</w:t>
      </w:r>
    </w:p>
    <w:p>
      <w:r>
        <w:rPr>
          <w:b/>
        </w:rPr>
        <w:t xml:space="preserve">Dioecious: </w:t>
      </w:r>
      <w:r>
        <w:t>A reproductive strategy in which male and female flowers occur on separate individuals. C. sativa is primarily dioecious.</w:t>
      </w:r>
    </w:p>
    <w:p>
      <w:r>
        <w:rPr>
          <w:b/>
        </w:rPr>
        <w:t xml:space="preserve">Monoecious: </w:t>
      </w:r>
      <w:r>
        <w:t>A reproductive strategy in which both male (staminate) and female (pistillate) flowers occur on the same individual.</w:t>
      </w:r>
    </w:p>
    <w:p>
      <w:r>
        <w:rPr>
          <w:b/>
        </w:rPr>
        <w:t xml:space="preserve">Sex Reversal: </w:t>
      </w:r>
      <w:r>
        <w:t>Chemical or environmental manipulation that causes a plant to produce flowers of the opposite sex to its genetic genotype.</w:t>
      </w:r>
    </w:p>
    <w:p>
      <w:r>
        <w:rPr>
          <w:b/>
        </w:rPr>
        <w:t xml:space="preserve">Feminized Seeds: </w:t>
      </w:r>
      <w:r>
        <w:t>Seeds produced from crosses between two genetically female (XX) plants, or by self-pollination of a reversed female, thus lacking the Y chromosome. Virtually all germinated plants should be female.</w:t>
      </w:r>
    </w:p>
    <w:p>
      <w:r>
        <w:rPr>
          <w:b/>
        </w:rPr>
        <w:t xml:space="preserve">Silver Thiosulfate (STS): </w:t>
      </w:r>
      <w:r>
        <w:t>Na₃Ag(S₂O₃)₂ — an ethylene antagonist used as a foliar spray to block ethylene binding, inducing male flower formation on genetically female plants.</w:t>
      </w:r>
    </w:p>
    <w:p>
      <w:r>
        <w:rPr>
          <w:b/>
        </w:rPr>
        <w:t xml:space="preserve">Ethephon: </w:t>
      </w:r>
      <w:r>
        <w:t>A compound (2-chloroethylphosphonic acid, trade name Ethrel) that releases ethylene upon absorption and is used to induce female flower formation, particularly on male plants.</w:t>
      </w:r>
    </w:p>
    <w:p>
      <w:r>
        <w:rPr>
          <w:b/>
        </w:rPr>
        <w:t xml:space="preserve">Gibberellic Acid (GA₃): </w:t>
      </w:r>
      <w:r>
        <w:t>A plant hormone that promotes cell elongation and, at high concentrations, induces male flower formation on female C. sativa plants.</w:t>
      </w:r>
    </w:p>
    <w:p>
      <w:r>
        <w:rPr>
          <w:b/>
        </w:rPr>
        <w:t xml:space="preserve">Primordia: </w:t>
      </w:r>
      <w:r>
        <w:t>Early undifferentiated flower structures, before sexual differentiation is morphologically apparent.</w:t>
      </w:r>
    </w:p>
    <w:p>
      <w:r>
        <w:rPr>
          <w:b/>
        </w:rPr>
        <w:t xml:space="preserve">Sinsemill / Sinsemilla: </w:t>
      </w:r>
      <w:r>
        <w:t>Unfertilized, seedless female cannabis flowers, prized for high cannabinoid content.</w:t>
      </w:r>
    </w:p>
    <w:p>
      <w:r>
        <w:rPr>
          <w:b/>
        </w:rPr>
        <w:t xml:space="preserve">MADC2: </w:t>
      </w:r>
      <w:r>
        <w:t>Male-Associated DNA from Cannabis sativa 2 — a SCAR molecular marker (390 bp) used for sex identification of male plants.</w:t>
      </w:r>
    </w:p>
    <w:p>
      <w:r>
        <w:rPr>
          <w:b/>
        </w:rPr>
        <w:t xml:space="preserve">CSP-1-FAM: </w:t>
      </w:r>
      <w:r>
        <w:t>Cannabis sex primer-1 — a PACE marker used to identify female plants before flowering.</w:t>
      </w:r>
    </w:p>
    <w:p>
      <w:r>
        <w:rPr>
          <w:b/>
        </w:rPr>
        <w:t xml:space="preserve">PAR: </w:t>
      </w:r>
      <w:r>
        <w:t>Pseudo-Autosomal Region — the region of sex chromosomes that recombines with the homologous sex chromosome.</w:t>
      </w:r>
    </w:p>
    <w:p>
      <w:r>
        <w:rPr>
          <w:b/>
        </w:rPr>
        <w:t xml:space="preserve">XY Individual: </w:t>
      </w:r>
      <w:r>
        <w:t>Genetically male plant with one X and one Y sex chromosome.</w:t>
      </w:r>
    </w:p>
    <w:p>
      <w:r>
        <w:rPr>
          <w:b/>
        </w:rPr>
        <w:t xml:space="preserve">XX Individual: </w:t>
      </w:r>
      <w:r>
        <w:t>Genetically female (or monoecious) plant with two X sex chromosomes.</w:t>
      </w:r>
    </w:p>
    <w:p/>
    <w:p>
      <w:r>
        <w:rPr>
          <w:b/>
        </w:rPr>
        <w:t xml:space="preserve">Document Control: </w:t>
      </w:r>
      <w:r>
        <w:t>This SOP should be reviewed annually or whenever significant changes in methodology are adopted. All revisions must be approved by the Principal Investigator and version-logged.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